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3DAB" w14:textId="77777777" w:rsidR="00F23F70" w:rsidRDefault="00F23F70">
      <w:pPr>
        <w:pStyle w:val="Titre"/>
        <w:jc w:val="center"/>
        <w:rPr>
          <w:sz w:val="36"/>
          <w:szCs w:val="36"/>
        </w:rPr>
      </w:pPr>
      <w:r>
        <w:rPr>
          <w:noProof/>
        </w:rPr>
        <w:drawing>
          <wp:inline distT="0" distB="0" distL="0" distR="0" wp14:anchorId="20978287" wp14:editId="76947072">
            <wp:extent cx="5756910" cy="1275715"/>
            <wp:effectExtent l="0" t="0" r="0" b="63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56910" cy="1275715"/>
                    </a:xfrm>
                    <a:prstGeom prst="rect">
                      <a:avLst/>
                    </a:prstGeom>
                    <a:ln/>
                  </pic:spPr>
                </pic:pic>
              </a:graphicData>
            </a:graphic>
          </wp:inline>
        </w:drawing>
      </w:r>
    </w:p>
    <w:p w14:paraId="42781AFF" w14:textId="23B180E0" w:rsidR="000611B3" w:rsidRPr="00F23F70" w:rsidRDefault="00560548">
      <w:pPr>
        <w:pStyle w:val="Titre"/>
        <w:jc w:val="center"/>
        <w:rPr>
          <w:rFonts w:ascii="Calibri" w:hAnsi="Calibri" w:cs="Calibri"/>
          <w:b w:val="0"/>
          <w:bCs/>
          <w:sz w:val="32"/>
          <w:szCs w:val="32"/>
        </w:rPr>
      </w:pPr>
      <w:r>
        <w:rPr>
          <w:rFonts w:ascii="Calibri" w:hAnsi="Calibri" w:cs="Calibri"/>
          <w:b w:val="0"/>
          <w:bCs/>
          <w:sz w:val="32"/>
          <w:szCs w:val="32"/>
        </w:rPr>
        <w:t>DESINFORMATION, PARACRISE ET COMMUNICATION ORGANISATIONNELLE</w:t>
      </w:r>
    </w:p>
    <w:p w14:paraId="14B0900A" w14:textId="3088F98D" w:rsidR="000611B3" w:rsidRPr="00F23F70" w:rsidRDefault="00F23F70">
      <w:pPr>
        <w:jc w:val="center"/>
        <w:rPr>
          <w:rFonts w:asciiTheme="majorHAnsi" w:hAnsiTheme="majorHAnsi" w:cstheme="majorHAnsi"/>
          <w:sz w:val="28"/>
          <w:szCs w:val="28"/>
        </w:rPr>
      </w:pPr>
      <w:r w:rsidRPr="00F23F70">
        <w:rPr>
          <w:rFonts w:asciiTheme="majorHAnsi" w:hAnsiTheme="majorHAnsi" w:cstheme="majorHAnsi"/>
          <w:sz w:val="28"/>
          <w:szCs w:val="28"/>
        </w:rPr>
        <w:t>N°</w:t>
      </w:r>
      <w:r w:rsidR="00560548">
        <w:rPr>
          <w:rFonts w:asciiTheme="majorHAnsi" w:hAnsiTheme="majorHAnsi" w:cstheme="majorHAnsi"/>
          <w:sz w:val="28"/>
          <w:szCs w:val="28"/>
        </w:rPr>
        <w:t>70</w:t>
      </w:r>
      <w:r w:rsidR="00170F0C" w:rsidRPr="00F23F70">
        <w:rPr>
          <w:rFonts w:asciiTheme="majorHAnsi" w:hAnsiTheme="majorHAnsi" w:cstheme="majorHAnsi"/>
          <w:sz w:val="28"/>
          <w:szCs w:val="28"/>
        </w:rPr>
        <w:t xml:space="preserve"> - </w:t>
      </w:r>
      <w:r w:rsidR="00560548">
        <w:rPr>
          <w:rFonts w:asciiTheme="majorHAnsi" w:hAnsiTheme="majorHAnsi" w:cstheme="majorHAnsi"/>
          <w:sz w:val="28"/>
          <w:szCs w:val="28"/>
        </w:rPr>
        <w:t>Décembre</w:t>
      </w:r>
      <w:r w:rsidR="00170F0C" w:rsidRPr="00F23F70">
        <w:rPr>
          <w:rFonts w:asciiTheme="majorHAnsi" w:hAnsiTheme="majorHAnsi" w:cstheme="majorHAnsi"/>
          <w:sz w:val="28"/>
          <w:szCs w:val="28"/>
        </w:rPr>
        <w:t xml:space="preserve"> 202</w:t>
      </w:r>
      <w:r w:rsidR="00560548">
        <w:rPr>
          <w:rFonts w:asciiTheme="majorHAnsi" w:hAnsiTheme="majorHAnsi" w:cstheme="majorHAnsi"/>
          <w:sz w:val="28"/>
          <w:szCs w:val="28"/>
        </w:rPr>
        <w:t>6</w:t>
      </w:r>
    </w:p>
    <w:p w14:paraId="3CA847C3" w14:textId="77777777" w:rsidR="00F23F70" w:rsidRDefault="00F23F70" w:rsidP="00F23F70">
      <w:pPr>
        <w:rPr>
          <w:rFonts w:eastAsia="Calibri"/>
        </w:rPr>
      </w:pPr>
    </w:p>
    <w:p w14:paraId="54929C95" w14:textId="649E8165" w:rsidR="000611B3" w:rsidRDefault="00170F0C" w:rsidP="00F23F70">
      <w:pPr>
        <w:rPr>
          <w:rFonts w:eastAsia="Calibri"/>
        </w:rPr>
      </w:pPr>
      <w:r>
        <w:rPr>
          <w:rFonts w:eastAsia="Calibri"/>
        </w:rPr>
        <w:t>Coordination du numéro</w:t>
      </w:r>
      <w:r w:rsidR="00AE3E8E">
        <w:rPr>
          <w:rFonts w:eastAsia="Calibri"/>
        </w:rPr>
        <w:t> </w:t>
      </w:r>
    </w:p>
    <w:p w14:paraId="178DEEE0" w14:textId="5AE3B950" w:rsidR="000611B3" w:rsidRDefault="00560548" w:rsidP="00F23F70">
      <w:pPr>
        <w:pStyle w:val="Paragraphedeliste"/>
        <w:numPr>
          <w:ilvl w:val="0"/>
          <w:numId w:val="8"/>
        </w:numPr>
        <w:rPr>
          <w:rFonts w:eastAsia="Calibri"/>
        </w:rPr>
      </w:pPr>
      <w:r>
        <w:rPr>
          <w:rFonts w:eastAsia="Calibri"/>
        </w:rPr>
        <w:t>Ali Ahmadi</w:t>
      </w:r>
      <w:r w:rsidR="00170F0C" w:rsidRPr="00F23F70">
        <w:rPr>
          <w:rFonts w:eastAsia="Calibri"/>
        </w:rPr>
        <w:t>, Université Bordeaux Montaigne, Laboratoire MICA</w:t>
      </w:r>
    </w:p>
    <w:p w14:paraId="746295B1" w14:textId="77777777" w:rsidR="0095528F" w:rsidRDefault="00560548" w:rsidP="0090464F">
      <w:pPr>
        <w:pStyle w:val="Paragraphedeliste"/>
        <w:numPr>
          <w:ilvl w:val="0"/>
          <w:numId w:val="8"/>
        </w:numPr>
        <w:rPr>
          <w:rFonts w:eastAsia="Calibri"/>
        </w:rPr>
      </w:pPr>
      <w:r w:rsidRPr="0095528F">
        <w:rPr>
          <w:rFonts w:eastAsia="Calibri"/>
        </w:rPr>
        <w:t>Claire d’Hennezel, Université Bordeaux Montaigne, Laboratoire MICA</w:t>
      </w:r>
    </w:p>
    <w:p w14:paraId="0AEC1B88" w14:textId="282A0FD2" w:rsidR="00F23F70" w:rsidRPr="0095528F" w:rsidRDefault="0095528F" w:rsidP="0090464F">
      <w:pPr>
        <w:pStyle w:val="Paragraphedeliste"/>
        <w:numPr>
          <w:ilvl w:val="0"/>
          <w:numId w:val="8"/>
        </w:numPr>
        <w:rPr>
          <w:rFonts w:eastAsia="Calibri"/>
        </w:rPr>
      </w:pPr>
      <w:proofErr w:type="spellStart"/>
      <w:r w:rsidRPr="0095528F">
        <w:t>Jindrich</w:t>
      </w:r>
      <w:proofErr w:type="spellEnd"/>
      <w:r w:rsidRPr="0095528F">
        <w:t xml:space="preserve"> OUKROPEC, Charles </w:t>
      </w:r>
      <w:proofErr w:type="spellStart"/>
      <w:r w:rsidRPr="0095528F">
        <w:t>University</w:t>
      </w:r>
      <w:proofErr w:type="spellEnd"/>
      <w:r w:rsidRPr="0095528F">
        <w:t xml:space="preserve"> i</w:t>
      </w:r>
      <w:r>
        <w:t>n</w:t>
      </w:r>
      <w:r w:rsidRPr="0095528F">
        <w:t xml:space="preserve"> Prague, ICSJ </w:t>
      </w:r>
      <w:proofErr w:type="spellStart"/>
      <w:r w:rsidRPr="0095528F">
        <w:t>Laboratory</w:t>
      </w:r>
      <w:proofErr w:type="spellEnd"/>
    </w:p>
    <w:p w14:paraId="529F520B" w14:textId="00EE6B7F" w:rsidR="00560548" w:rsidRPr="00560548" w:rsidRDefault="00560548" w:rsidP="00560548">
      <w:r w:rsidRPr="00560548">
        <w:rPr>
          <w:rFonts w:cs="Arial"/>
          <w:b/>
          <w:bCs/>
          <w:color w:val="000000"/>
        </w:rPr>
        <w:t>Résumé</w:t>
      </w:r>
    </w:p>
    <w:p w14:paraId="451B5214" w14:textId="77777777" w:rsidR="00560548" w:rsidRPr="00560548" w:rsidRDefault="00560548" w:rsidP="00560548">
      <w:pPr>
        <w:rPr>
          <w:rFonts w:cs="Arial"/>
          <w:color w:val="000000"/>
        </w:rPr>
      </w:pPr>
      <w:r w:rsidRPr="00560548">
        <w:rPr>
          <w:rFonts w:cs="Arial"/>
          <w:color w:val="000000"/>
        </w:rPr>
        <w:t xml:space="preserve">La désinformation, sous ses formes multiples, transforme sensiblement les pratiques communicationnelles des organisations et fragilise la confiance de leurs parties prenantes. La multiplication des fake news, des </w:t>
      </w:r>
      <w:proofErr w:type="spellStart"/>
      <w:r w:rsidRPr="00560548">
        <w:rPr>
          <w:rFonts w:cs="Arial"/>
          <w:color w:val="000000"/>
        </w:rPr>
        <w:t>paracrises</w:t>
      </w:r>
      <w:proofErr w:type="spellEnd"/>
      <w:r w:rsidRPr="00560548">
        <w:rPr>
          <w:rFonts w:cs="Arial"/>
          <w:color w:val="000000"/>
        </w:rPr>
        <w:t xml:space="preserve"> qu’elles alimentent et des usages stratégiques de la communication trompeuse (</w:t>
      </w:r>
      <w:r w:rsidRPr="00560548">
        <w:rPr>
          <w:rFonts w:cs="Arial"/>
          <w:i/>
          <w:iCs/>
          <w:color w:val="000000"/>
        </w:rPr>
        <w:t>greenwashing</w:t>
      </w:r>
      <w:r w:rsidRPr="00560548">
        <w:rPr>
          <w:rFonts w:cs="Arial"/>
          <w:color w:val="000000"/>
        </w:rPr>
        <w:t xml:space="preserve">, </w:t>
      </w:r>
      <w:proofErr w:type="spellStart"/>
      <w:r w:rsidRPr="00560548">
        <w:rPr>
          <w:rFonts w:cs="Arial"/>
          <w:i/>
          <w:iCs/>
          <w:color w:val="000000"/>
        </w:rPr>
        <w:t>socialwashing</w:t>
      </w:r>
      <w:proofErr w:type="spellEnd"/>
      <w:r w:rsidRPr="00560548">
        <w:rPr>
          <w:rFonts w:cs="Arial"/>
          <w:color w:val="000000"/>
        </w:rPr>
        <w:t xml:space="preserve">) interroge la capacité des organisations à construire des réponses adaptées et durables. Ces enjeux se rattachent à la problématique plus large de la sécurité informationnelle. Les attaques réputationnelles, les cybermenaces et la désinformation mettent en évidence le rôle central des logiques de gouvernance et de la culture informationnelle dans la construction d’une véritable résilience organisationnelle. Le dossier thématique de la revue </w:t>
      </w:r>
      <w:r w:rsidRPr="00560548">
        <w:rPr>
          <w:rFonts w:cs="Arial"/>
          <w:i/>
          <w:iCs/>
          <w:color w:val="000000"/>
        </w:rPr>
        <w:t>Communication &amp; Organisation</w:t>
      </w:r>
      <w:r w:rsidRPr="00560548">
        <w:rPr>
          <w:rFonts w:cs="Arial"/>
          <w:color w:val="000000"/>
        </w:rPr>
        <w:t xml:space="preserve"> propose d’explorer ces phénomènes en mobilisant des approches théoriques, méthodologiques et empiriques. </w:t>
      </w:r>
    </w:p>
    <w:p w14:paraId="44289A30" w14:textId="693D2198" w:rsidR="00560548" w:rsidRPr="00560548" w:rsidRDefault="00560548" w:rsidP="00560548">
      <w:r w:rsidRPr="00560548">
        <w:rPr>
          <w:rFonts w:cs="Arial"/>
          <w:b/>
          <w:bCs/>
          <w:color w:val="000000"/>
        </w:rPr>
        <w:t>Contexte</w:t>
      </w:r>
    </w:p>
    <w:p w14:paraId="64B003DE" w14:textId="77777777" w:rsidR="00560548" w:rsidRPr="00560548" w:rsidRDefault="00560548" w:rsidP="00560548">
      <w:r w:rsidRPr="00560548">
        <w:rPr>
          <w:rFonts w:cs="Arial"/>
          <w:color w:val="000000"/>
        </w:rPr>
        <w:t>La communication des organisations est confrontée à une mutation profonde de son environnement, caractérisée par l'accélération numérique et l'érosion de la confiance institutionnelle. Dans ce contexte, la désinformation s’impose comme un enjeu important de la gouvernance communicationnelle contemporaine. Elle renvoie à l’ensemble des pratiques de production, de diffusion ou d’exploitation d’informations fausses, trompeuses ou manipulées, susceptibles de compromettre la réputation des organisations et de fragiliser la relation de confiance qu’elles entretiennent avec leurs parties prenantes. Diffusée sans intention de nuire, la mésinformation se distingue de la désinformation, produite à des fins malveillantes (</w:t>
      </w:r>
      <w:proofErr w:type="spellStart"/>
      <w:r w:rsidRPr="00560548">
        <w:rPr>
          <w:rFonts w:cs="Arial"/>
          <w:color w:val="000000"/>
        </w:rPr>
        <w:t>Wardle</w:t>
      </w:r>
      <w:proofErr w:type="spellEnd"/>
      <w:r w:rsidRPr="00560548">
        <w:rPr>
          <w:rFonts w:cs="Arial"/>
          <w:color w:val="000000"/>
        </w:rPr>
        <w:t xml:space="preserve"> &amp; </w:t>
      </w:r>
      <w:proofErr w:type="spellStart"/>
      <w:r w:rsidRPr="00560548">
        <w:rPr>
          <w:rFonts w:cs="Arial"/>
          <w:color w:val="000000"/>
        </w:rPr>
        <w:t>Derakhshan</w:t>
      </w:r>
      <w:proofErr w:type="spellEnd"/>
      <w:r w:rsidRPr="00560548">
        <w:rPr>
          <w:rFonts w:cs="Arial"/>
          <w:color w:val="000000"/>
        </w:rPr>
        <w:t>, 2018). D’abord cantonné aux sphères politiques et médiatiques, ce phénomène touche désormais directement les organisations, dont il fragilise la réputation (</w:t>
      </w:r>
      <w:proofErr w:type="spellStart"/>
      <w:r w:rsidRPr="00560548">
        <w:rPr>
          <w:rFonts w:cs="Arial"/>
          <w:color w:val="000000"/>
        </w:rPr>
        <w:t>Jahng</w:t>
      </w:r>
      <w:proofErr w:type="spellEnd"/>
      <w:r w:rsidRPr="00560548">
        <w:rPr>
          <w:rFonts w:cs="Arial"/>
          <w:color w:val="000000"/>
        </w:rPr>
        <w:t xml:space="preserve">, Lee &amp; </w:t>
      </w:r>
      <w:proofErr w:type="spellStart"/>
      <w:r w:rsidRPr="00560548">
        <w:rPr>
          <w:rFonts w:cs="Arial"/>
          <w:color w:val="000000"/>
        </w:rPr>
        <w:t>Rochadiat</w:t>
      </w:r>
      <w:proofErr w:type="spellEnd"/>
      <w:r w:rsidRPr="00560548">
        <w:rPr>
          <w:rFonts w:cs="Arial"/>
          <w:color w:val="000000"/>
        </w:rPr>
        <w:t>, 2020), la légitimité et l’intégrité opérationnelle (</w:t>
      </w:r>
      <w:proofErr w:type="spellStart"/>
      <w:r w:rsidRPr="00560548">
        <w:rPr>
          <w:rFonts w:cs="Arial"/>
          <w:color w:val="000000"/>
        </w:rPr>
        <w:t>Karinshak</w:t>
      </w:r>
      <w:proofErr w:type="spellEnd"/>
      <w:r w:rsidRPr="00560548">
        <w:rPr>
          <w:rFonts w:cs="Arial"/>
          <w:color w:val="000000"/>
        </w:rPr>
        <w:t xml:space="preserve">, 2023, </w:t>
      </w:r>
      <w:r w:rsidRPr="00560548">
        <w:rPr>
          <w:rFonts w:cs="Arial"/>
          <w:color w:val="000000"/>
          <w:shd w:val="clear" w:color="auto" w:fill="FFFFFF"/>
        </w:rPr>
        <w:t xml:space="preserve">Eze et </w:t>
      </w:r>
      <w:proofErr w:type="spellStart"/>
      <w:r w:rsidRPr="00560548">
        <w:rPr>
          <w:rFonts w:cs="Arial"/>
          <w:color w:val="000000"/>
          <w:shd w:val="clear" w:color="auto" w:fill="FFFFFF"/>
        </w:rPr>
        <w:t>Zacky</w:t>
      </w:r>
      <w:proofErr w:type="spellEnd"/>
      <w:r w:rsidRPr="00560548">
        <w:rPr>
          <w:rFonts w:cs="Arial"/>
          <w:color w:val="000000"/>
          <w:shd w:val="clear" w:color="auto" w:fill="FFFFFF"/>
        </w:rPr>
        <w:t>-Eze, 2025).</w:t>
      </w:r>
    </w:p>
    <w:p w14:paraId="4F915315" w14:textId="67182E7F" w:rsidR="00560548" w:rsidRPr="00560548" w:rsidRDefault="00560548" w:rsidP="00560548">
      <w:pPr>
        <w:spacing w:after="0"/>
      </w:pPr>
      <w:r w:rsidRPr="00560548">
        <w:rPr>
          <w:rFonts w:cs="Arial"/>
          <w:color w:val="000000"/>
        </w:rPr>
        <w:lastRenderedPageBreak/>
        <w:t xml:space="preserve">L’essor de l’IA, des bots et des </w:t>
      </w:r>
      <w:proofErr w:type="spellStart"/>
      <w:r w:rsidRPr="00560548">
        <w:rPr>
          <w:rFonts w:cs="Arial"/>
          <w:color w:val="000000"/>
        </w:rPr>
        <w:t>deepfakes</w:t>
      </w:r>
      <w:proofErr w:type="spellEnd"/>
      <w:r w:rsidRPr="00560548">
        <w:rPr>
          <w:rFonts w:cs="Arial"/>
          <w:color w:val="000000"/>
        </w:rPr>
        <w:t xml:space="preserve"> accroît encore la sophistication de ces pratiques et complique leur détection (Ferrara, 2017</w:t>
      </w:r>
      <w:r w:rsidR="00D832EF">
        <w:rPr>
          <w:rFonts w:cs="Arial"/>
          <w:color w:val="000000"/>
        </w:rPr>
        <w:t xml:space="preserve"> </w:t>
      </w:r>
      <w:r w:rsidRPr="00560548">
        <w:rPr>
          <w:rFonts w:cs="Arial"/>
          <w:color w:val="000000"/>
        </w:rPr>
        <w:t xml:space="preserve">; </w:t>
      </w:r>
      <w:proofErr w:type="spellStart"/>
      <w:r w:rsidRPr="00560548">
        <w:rPr>
          <w:rFonts w:cs="Arial"/>
          <w:color w:val="000000"/>
        </w:rPr>
        <w:t>Shao</w:t>
      </w:r>
      <w:proofErr w:type="spellEnd"/>
      <w:r w:rsidRPr="00560548">
        <w:rPr>
          <w:rFonts w:cs="Arial"/>
          <w:color w:val="000000"/>
        </w:rPr>
        <w:t xml:space="preserve"> et al., 2018</w:t>
      </w:r>
      <w:r w:rsidR="00D832EF">
        <w:rPr>
          <w:rFonts w:cs="Arial"/>
          <w:color w:val="000000"/>
        </w:rPr>
        <w:t xml:space="preserve"> </w:t>
      </w:r>
      <w:r w:rsidRPr="00560548">
        <w:rPr>
          <w:rFonts w:cs="Arial"/>
          <w:color w:val="000000"/>
        </w:rPr>
        <w:t xml:space="preserve">; </w:t>
      </w:r>
      <w:proofErr w:type="spellStart"/>
      <w:r w:rsidRPr="00560548">
        <w:rPr>
          <w:rFonts w:cs="Arial"/>
          <w:color w:val="000000"/>
        </w:rPr>
        <w:t>Chesney</w:t>
      </w:r>
      <w:proofErr w:type="spellEnd"/>
      <w:r w:rsidRPr="00560548">
        <w:rPr>
          <w:rFonts w:cs="Arial"/>
          <w:color w:val="000000"/>
        </w:rPr>
        <w:t xml:space="preserve"> &amp; Citron, 2019). Amplifiées par les bulles de filtre (</w:t>
      </w:r>
      <w:proofErr w:type="spellStart"/>
      <w:r w:rsidRPr="00560548">
        <w:rPr>
          <w:rFonts w:cs="Arial"/>
          <w:color w:val="000000"/>
        </w:rPr>
        <w:t>Pariser</w:t>
      </w:r>
      <w:proofErr w:type="spellEnd"/>
      <w:r w:rsidRPr="00560548">
        <w:rPr>
          <w:rFonts w:cs="Arial"/>
          <w:color w:val="000000"/>
        </w:rPr>
        <w:t>, 2011) et les chambres d’écho, ces dynamiques nourrissent un régime de post-vérité où les émotions et les croyances dominent les faits (Keyes, 2004) et structurent les processus de perception et de réception de l’information (Ahmadi et Soulages, 2025).</w:t>
      </w:r>
    </w:p>
    <w:p w14:paraId="152D3B00" w14:textId="77777777" w:rsidR="00560548" w:rsidRPr="00560548" w:rsidRDefault="00560548" w:rsidP="00560548">
      <w:pPr>
        <w:spacing w:after="0"/>
      </w:pPr>
      <w:r w:rsidRPr="00560548">
        <w:rPr>
          <w:rFonts w:cs="Arial"/>
          <w:color w:val="000000"/>
        </w:rPr>
        <w:t xml:space="preserve">La désinformation, majoritairement étudiée dans le champ du journalisme à travers les travaux sur le </w:t>
      </w:r>
      <w:proofErr w:type="spellStart"/>
      <w:r w:rsidRPr="00560548">
        <w:rPr>
          <w:rFonts w:cs="Arial"/>
          <w:i/>
          <w:iCs/>
          <w:color w:val="000000"/>
        </w:rPr>
        <w:t>fact</w:t>
      </w:r>
      <w:proofErr w:type="spellEnd"/>
      <w:r w:rsidRPr="00560548">
        <w:rPr>
          <w:rFonts w:cs="Arial"/>
          <w:i/>
          <w:iCs/>
          <w:color w:val="000000"/>
        </w:rPr>
        <w:t>-checking (Bigot, 2019)</w:t>
      </w:r>
      <w:r w:rsidRPr="00560548">
        <w:rPr>
          <w:rFonts w:cs="Arial"/>
          <w:color w:val="000000"/>
        </w:rPr>
        <w:t>, la communication politique, la gestion ou encore l’informatique, notamment à travers la conception d’algorithmes de détection des contenus trompeurs, tend à être recontextualisée, aujourd’hui, dans les problématiques organisationnelles liées à la gouvernance de l’information. Elle représente un obstacle sérieux à la légitimité de l’organisation.</w:t>
      </w:r>
    </w:p>
    <w:p w14:paraId="033D37D6" w14:textId="49078F54" w:rsidR="00560548" w:rsidRPr="00560548" w:rsidRDefault="00560548" w:rsidP="00560548">
      <w:pPr>
        <w:spacing w:after="0"/>
      </w:pPr>
      <w:r w:rsidRPr="00560548">
        <w:rPr>
          <w:rFonts w:cs="Arial"/>
          <w:color w:val="000000"/>
        </w:rPr>
        <w:t xml:space="preserve">Par ailleurs, certaines entreprises exploitent les réseaux sociaux pour afficher des engagements sociétaux, recourant parfois à des stratégies trompeuses comme le </w:t>
      </w:r>
      <w:r w:rsidRPr="00560548">
        <w:rPr>
          <w:rFonts w:cs="Arial"/>
          <w:i/>
          <w:iCs/>
          <w:color w:val="000000"/>
        </w:rPr>
        <w:t>greenwashing</w:t>
      </w:r>
      <w:r w:rsidRPr="00560548">
        <w:rPr>
          <w:rFonts w:cs="Arial"/>
          <w:color w:val="000000"/>
        </w:rPr>
        <w:t xml:space="preserve"> (Delmas &amp; </w:t>
      </w:r>
      <w:proofErr w:type="spellStart"/>
      <w:r w:rsidRPr="00560548">
        <w:rPr>
          <w:rFonts w:cs="Arial"/>
          <w:color w:val="000000"/>
        </w:rPr>
        <w:t>Burbano</w:t>
      </w:r>
      <w:proofErr w:type="spellEnd"/>
      <w:r w:rsidRPr="00560548">
        <w:rPr>
          <w:rFonts w:cs="Arial"/>
          <w:color w:val="000000"/>
        </w:rPr>
        <w:t>, 2011</w:t>
      </w:r>
      <w:r w:rsidR="00B706CC">
        <w:rPr>
          <w:rFonts w:cs="Arial"/>
          <w:color w:val="000000"/>
        </w:rPr>
        <w:t xml:space="preserve"> </w:t>
      </w:r>
      <w:r w:rsidRPr="00560548">
        <w:rPr>
          <w:rFonts w:cs="Arial"/>
          <w:color w:val="000000"/>
        </w:rPr>
        <w:t xml:space="preserve">; Kim &amp; Lyon, 2015) ou le </w:t>
      </w:r>
      <w:proofErr w:type="spellStart"/>
      <w:r w:rsidRPr="00560548">
        <w:rPr>
          <w:rFonts w:cs="Arial"/>
          <w:i/>
          <w:iCs/>
          <w:color w:val="000000"/>
        </w:rPr>
        <w:t>socialwashing</w:t>
      </w:r>
      <w:proofErr w:type="spellEnd"/>
      <w:r w:rsidRPr="00560548">
        <w:rPr>
          <w:rFonts w:cs="Arial"/>
          <w:color w:val="000000"/>
        </w:rPr>
        <w:t xml:space="preserve"> (Baker et al., 2024), qui minent leur légitimité (Xu et al., 2025). Le </w:t>
      </w:r>
      <w:r w:rsidRPr="00560548">
        <w:rPr>
          <w:rFonts w:cs="Arial"/>
          <w:i/>
          <w:iCs/>
          <w:color w:val="000000"/>
        </w:rPr>
        <w:t>greenwashing</w:t>
      </w:r>
      <w:r w:rsidRPr="00560548">
        <w:rPr>
          <w:rFonts w:cs="Arial"/>
          <w:color w:val="000000"/>
        </w:rPr>
        <w:t xml:space="preserve"> illustre une forme de désinformation organisationnelle reposant sur des communications sélectives ou trompeuses de la performance environnementale (Cordelier, 2020</w:t>
      </w:r>
      <w:r w:rsidR="00B706CC">
        <w:rPr>
          <w:rFonts w:cs="Arial"/>
          <w:color w:val="000000"/>
        </w:rPr>
        <w:t xml:space="preserve"> </w:t>
      </w:r>
      <w:r w:rsidRPr="00560548">
        <w:rPr>
          <w:rFonts w:cs="Arial"/>
          <w:color w:val="000000"/>
        </w:rPr>
        <w:t xml:space="preserve">; Szabo &amp; Webster, 2021). La revue de la littérature scientifique sur les </w:t>
      </w:r>
      <w:r w:rsidRPr="00560548">
        <w:rPr>
          <w:rFonts w:cs="Arial"/>
          <w:i/>
          <w:iCs/>
          <w:color w:val="000000"/>
        </w:rPr>
        <w:t>fake news</w:t>
      </w:r>
      <w:r w:rsidRPr="00560548">
        <w:rPr>
          <w:rFonts w:cs="Arial"/>
          <w:color w:val="000000"/>
        </w:rPr>
        <w:t xml:space="preserve"> et la désinformation dans le contexte des organisations révèle un champ de recherche en développement, mais aussi fragmenté. Ce phénomène a surtout été étudié en management et en économie (Baum, 2012</w:t>
      </w:r>
      <w:r w:rsidR="00B706CC">
        <w:rPr>
          <w:rFonts w:cs="Arial"/>
          <w:color w:val="000000"/>
        </w:rPr>
        <w:t xml:space="preserve"> </w:t>
      </w:r>
      <w:r w:rsidRPr="00560548">
        <w:rPr>
          <w:rFonts w:cs="Arial"/>
          <w:color w:val="000000"/>
        </w:rPr>
        <w:t xml:space="preserve">; </w:t>
      </w:r>
      <w:proofErr w:type="spellStart"/>
      <w:r w:rsidRPr="00560548">
        <w:rPr>
          <w:rFonts w:cs="Arial"/>
          <w:color w:val="000000"/>
        </w:rPr>
        <w:t>Glavas</w:t>
      </w:r>
      <w:proofErr w:type="spellEnd"/>
      <w:r w:rsidRPr="00560548">
        <w:rPr>
          <w:rFonts w:cs="Arial"/>
          <w:color w:val="000000"/>
        </w:rPr>
        <w:t xml:space="preserve"> et al., 2023</w:t>
      </w:r>
      <w:r w:rsidR="00B706CC">
        <w:rPr>
          <w:rFonts w:cs="Arial"/>
          <w:color w:val="000000"/>
        </w:rPr>
        <w:t xml:space="preserve"> </w:t>
      </w:r>
      <w:r w:rsidRPr="00560548">
        <w:rPr>
          <w:rFonts w:cs="Arial"/>
          <w:color w:val="000000"/>
        </w:rPr>
        <w:t xml:space="preserve">; </w:t>
      </w:r>
      <w:proofErr w:type="spellStart"/>
      <w:r w:rsidRPr="00560548">
        <w:rPr>
          <w:rFonts w:cs="Arial"/>
          <w:color w:val="000000"/>
        </w:rPr>
        <w:t>Gacem</w:t>
      </w:r>
      <w:proofErr w:type="spellEnd"/>
      <w:r w:rsidRPr="00560548">
        <w:rPr>
          <w:rFonts w:cs="Arial"/>
          <w:color w:val="000000"/>
        </w:rPr>
        <w:t xml:space="preserve"> et al., 2025) cependant les recherches sont principalement axées sur la communication corporative, la réputation et les stratégies de gestion de crise (Ewing et Lambert, 2019</w:t>
      </w:r>
      <w:r w:rsidR="00B706CC">
        <w:rPr>
          <w:rFonts w:cs="Arial"/>
          <w:color w:val="000000"/>
        </w:rPr>
        <w:t xml:space="preserve"> </w:t>
      </w:r>
      <w:r w:rsidRPr="00560548">
        <w:rPr>
          <w:rFonts w:cs="Arial"/>
          <w:color w:val="000000"/>
        </w:rPr>
        <w:t>; Gomes-Gonçalves et al., 2022).</w:t>
      </w:r>
    </w:p>
    <w:p w14:paraId="139490DF" w14:textId="77777777" w:rsidR="00AE3E8E" w:rsidRDefault="00560548" w:rsidP="00AE3E8E">
      <w:pPr>
        <w:spacing w:before="0" w:after="0"/>
      </w:pPr>
      <w:r w:rsidRPr="00560548">
        <w:rPr>
          <w:rFonts w:cs="Arial"/>
          <w:color w:val="000000"/>
        </w:rPr>
        <w:t>Sous l’effet de la multiplication des attaques informationnelles et réputationnelles, on observe, depuis 2016, que le sujet de la sécurité informationnelle se développe en parallèle de celui de la désinformation. La sécurité informationnelle doit être regardée comme une démarche organisationnelle visant à protéger le patrimoine immatériel (</w:t>
      </w:r>
      <w:proofErr w:type="spellStart"/>
      <w:r w:rsidRPr="00560548">
        <w:rPr>
          <w:rFonts w:cs="Arial"/>
          <w:color w:val="000000"/>
        </w:rPr>
        <w:t>Larivet</w:t>
      </w:r>
      <w:proofErr w:type="spellEnd"/>
      <w:r w:rsidRPr="00560548">
        <w:rPr>
          <w:rFonts w:cs="Arial"/>
          <w:color w:val="000000"/>
        </w:rPr>
        <w:t>, 2006). Elle contribue à valoriser le patrimoine informationnel tout en impliquant des enjeux de culture et de gouvernance. Une sémantique peu stabilisée l’apparente à des concepts associés tels que « l’autonomie informationnelle » (</w:t>
      </w:r>
      <w:proofErr w:type="spellStart"/>
      <w:r w:rsidRPr="00560548">
        <w:rPr>
          <w:rFonts w:cs="Arial"/>
          <w:color w:val="000000"/>
        </w:rPr>
        <w:t>Bulinge</w:t>
      </w:r>
      <w:proofErr w:type="spellEnd"/>
      <w:r w:rsidRPr="00560548">
        <w:rPr>
          <w:rFonts w:cs="Arial"/>
          <w:color w:val="000000"/>
        </w:rPr>
        <w:t>, 2022) ou « l’intelligence du risque » (</w:t>
      </w:r>
      <w:proofErr w:type="spellStart"/>
      <w:r w:rsidRPr="00560548">
        <w:rPr>
          <w:rFonts w:cs="Arial"/>
          <w:color w:val="000000"/>
        </w:rPr>
        <w:t>Libmann</w:t>
      </w:r>
      <w:proofErr w:type="spellEnd"/>
      <w:r w:rsidRPr="00560548">
        <w:rPr>
          <w:rFonts w:cs="Arial"/>
          <w:color w:val="000000"/>
        </w:rPr>
        <w:t>, 2014). Ce concept s’inscrit dans le champ plus large de l’intelligence économique (</w:t>
      </w:r>
      <w:proofErr w:type="spellStart"/>
      <w:r w:rsidRPr="00560548">
        <w:rPr>
          <w:rFonts w:cs="Arial"/>
          <w:color w:val="000000"/>
        </w:rPr>
        <w:t>Bulinge</w:t>
      </w:r>
      <w:proofErr w:type="spellEnd"/>
      <w:r w:rsidRPr="00560548">
        <w:rPr>
          <w:rFonts w:cs="Arial"/>
          <w:color w:val="000000"/>
        </w:rPr>
        <w:t xml:space="preserve"> &amp; </w:t>
      </w:r>
      <w:proofErr w:type="spellStart"/>
      <w:r w:rsidRPr="00560548">
        <w:rPr>
          <w:rFonts w:cs="Arial"/>
          <w:color w:val="000000"/>
        </w:rPr>
        <w:t>Moinet</w:t>
      </w:r>
      <w:proofErr w:type="spellEnd"/>
      <w:r w:rsidRPr="00560548">
        <w:rPr>
          <w:rFonts w:cs="Arial"/>
          <w:color w:val="000000"/>
        </w:rPr>
        <w:t xml:space="preserve">, 2013 ;  d’Hennezel, 2017), et mobilise une approche interdisciplinaire, entre gestion stratégique et défense nationale. </w:t>
      </w:r>
    </w:p>
    <w:p w14:paraId="62B29381" w14:textId="63DC401D" w:rsidR="00560548" w:rsidRPr="00560548" w:rsidRDefault="00560548" w:rsidP="00AE3E8E">
      <w:pPr>
        <w:spacing w:before="0" w:after="0"/>
      </w:pPr>
      <w:r w:rsidRPr="00560548">
        <w:rPr>
          <w:rFonts w:cs="Arial"/>
          <w:color w:val="000000"/>
        </w:rPr>
        <w:t xml:space="preserve">Cette dynamique conjointe de désinformation et de sécurité informationnelle engendre des situations de crise et de </w:t>
      </w:r>
      <w:proofErr w:type="spellStart"/>
      <w:r w:rsidRPr="00560548">
        <w:rPr>
          <w:rFonts w:cs="Arial"/>
          <w:color w:val="000000"/>
        </w:rPr>
        <w:t>paracrise</w:t>
      </w:r>
      <w:proofErr w:type="spellEnd"/>
      <w:r w:rsidRPr="00560548">
        <w:rPr>
          <w:rFonts w:cs="Arial"/>
          <w:color w:val="000000"/>
        </w:rPr>
        <w:t xml:space="preserve"> dont les origines résident fréquemment dans la circulation de contenus fallacieux ou manipulés (</w:t>
      </w:r>
      <w:proofErr w:type="spellStart"/>
      <w:r w:rsidRPr="00560548">
        <w:rPr>
          <w:rFonts w:cs="Arial"/>
          <w:color w:val="000000"/>
        </w:rPr>
        <w:t>Oukropec</w:t>
      </w:r>
      <w:proofErr w:type="spellEnd"/>
      <w:r w:rsidRPr="00560548">
        <w:rPr>
          <w:rFonts w:cs="Arial"/>
          <w:color w:val="000000"/>
        </w:rPr>
        <w:t xml:space="preserve">, 2025). L’enjeu scientifique consiste dès lors à analyser les généalogies des </w:t>
      </w:r>
      <w:proofErr w:type="spellStart"/>
      <w:r w:rsidRPr="00560548">
        <w:rPr>
          <w:rFonts w:cs="Arial"/>
          <w:color w:val="000000"/>
        </w:rPr>
        <w:t>paracrises</w:t>
      </w:r>
      <w:proofErr w:type="spellEnd"/>
      <w:r w:rsidRPr="00560548">
        <w:rPr>
          <w:rFonts w:cs="Arial"/>
          <w:color w:val="000000"/>
        </w:rPr>
        <w:t>, leurs formes discursives et leurs modes de régulation, afin d’en dégager des principes d’anticipation et de prévention.</w:t>
      </w:r>
    </w:p>
    <w:p w14:paraId="77D198C5" w14:textId="77777777" w:rsidR="00560548" w:rsidRPr="00560548" w:rsidRDefault="00560548" w:rsidP="00560548">
      <w:pPr>
        <w:spacing w:after="0"/>
      </w:pPr>
      <w:r w:rsidRPr="00560548">
        <w:rPr>
          <w:rFonts w:cs="Arial"/>
          <w:color w:val="000000"/>
          <w:shd w:val="clear" w:color="auto" w:fill="FFFFFF"/>
        </w:rPr>
        <w:t xml:space="preserve">Les premières conceptualisations du phénomène (Coombs &amp; </w:t>
      </w:r>
      <w:proofErr w:type="spellStart"/>
      <w:r w:rsidRPr="00560548">
        <w:rPr>
          <w:rFonts w:cs="Arial"/>
          <w:color w:val="000000"/>
          <w:shd w:val="clear" w:color="auto" w:fill="FFFFFF"/>
        </w:rPr>
        <w:t>Holladay</w:t>
      </w:r>
      <w:proofErr w:type="spellEnd"/>
      <w:r w:rsidRPr="00560548">
        <w:rPr>
          <w:rFonts w:cs="Arial"/>
          <w:color w:val="000000"/>
          <w:shd w:val="clear" w:color="auto" w:fill="FFFFFF"/>
        </w:rPr>
        <w:t xml:space="preserve">, 2012 ; Coombs, 2023 </w:t>
      </w:r>
      <w:r w:rsidRPr="00560548">
        <w:rPr>
          <w:rFonts w:cs="Arial"/>
          <w:color w:val="000000"/>
        </w:rPr>
        <w:t xml:space="preserve">; Chen &amp; </w:t>
      </w:r>
      <w:proofErr w:type="spellStart"/>
      <w:r w:rsidRPr="00560548">
        <w:rPr>
          <w:rFonts w:cs="Arial"/>
          <w:color w:val="000000"/>
        </w:rPr>
        <w:t>Holladay</w:t>
      </w:r>
      <w:proofErr w:type="spellEnd"/>
      <w:r w:rsidRPr="00560548">
        <w:rPr>
          <w:rFonts w:cs="Arial"/>
          <w:color w:val="000000"/>
        </w:rPr>
        <w:t>, 2023) l’envisagent comme une forme intermédiaire entre crise et communication ordinaire, marquée par la médiatisation et la perte de contrôle du récit organisationnel. Ces perspectives ont été enrichies par des recherches empiriques menées dans les contextes anglo-saxons (</w:t>
      </w:r>
      <w:proofErr w:type="spellStart"/>
      <w:r w:rsidRPr="00560548">
        <w:rPr>
          <w:rFonts w:cs="Arial"/>
          <w:color w:val="000000"/>
        </w:rPr>
        <w:t>Roh</w:t>
      </w:r>
      <w:proofErr w:type="spellEnd"/>
      <w:r w:rsidRPr="00560548">
        <w:rPr>
          <w:rFonts w:cs="Arial"/>
          <w:color w:val="000000"/>
        </w:rPr>
        <w:t xml:space="preserve">, 2017 ; </w:t>
      </w:r>
      <w:proofErr w:type="spellStart"/>
      <w:r w:rsidRPr="00560548">
        <w:rPr>
          <w:rFonts w:cs="Arial"/>
          <w:color w:val="000000"/>
        </w:rPr>
        <w:t>Honisch</w:t>
      </w:r>
      <w:proofErr w:type="spellEnd"/>
      <w:r w:rsidRPr="00560548">
        <w:rPr>
          <w:rFonts w:cs="Arial"/>
          <w:color w:val="000000"/>
        </w:rPr>
        <w:t xml:space="preserve"> &amp; </w:t>
      </w:r>
      <w:proofErr w:type="spellStart"/>
      <w:r w:rsidRPr="00560548">
        <w:rPr>
          <w:rFonts w:cs="Arial"/>
          <w:color w:val="000000"/>
        </w:rPr>
        <w:t>Manchón</w:t>
      </w:r>
      <w:proofErr w:type="spellEnd"/>
      <w:r w:rsidRPr="00560548">
        <w:rPr>
          <w:rFonts w:cs="Arial"/>
          <w:color w:val="000000"/>
        </w:rPr>
        <w:t xml:space="preserve">, 2020 ; </w:t>
      </w:r>
      <w:proofErr w:type="spellStart"/>
      <w:r w:rsidRPr="00560548">
        <w:rPr>
          <w:rFonts w:cs="Arial"/>
          <w:color w:val="000000"/>
        </w:rPr>
        <w:t>Kampani</w:t>
      </w:r>
      <w:proofErr w:type="spellEnd"/>
      <w:r w:rsidRPr="00560548">
        <w:rPr>
          <w:rFonts w:cs="Arial"/>
          <w:color w:val="000000"/>
        </w:rPr>
        <w:t xml:space="preserve">, 2024), qui analysent les </w:t>
      </w:r>
      <w:proofErr w:type="spellStart"/>
      <w:r w:rsidRPr="00560548">
        <w:rPr>
          <w:rFonts w:cs="Arial"/>
          <w:color w:val="000000"/>
        </w:rPr>
        <w:t>paracrises</w:t>
      </w:r>
      <w:proofErr w:type="spellEnd"/>
      <w:r w:rsidRPr="00560548">
        <w:rPr>
          <w:rFonts w:cs="Arial"/>
          <w:color w:val="000000"/>
        </w:rPr>
        <w:t xml:space="preserve"> sous l’angle des risques réputationnels et des stratégies de réponse.</w:t>
      </w:r>
    </w:p>
    <w:p w14:paraId="3EDEC6C3" w14:textId="77777777" w:rsidR="00560548" w:rsidRPr="00560548" w:rsidRDefault="00560548" w:rsidP="00560548">
      <w:r w:rsidRPr="00560548">
        <w:rPr>
          <w:rFonts w:cs="Arial"/>
          <w:color w:val="000000"/>
        </w:rPr>
        <w:t xml:space="preserve">Dans l’espace francophone, les contributions demeurent encore dispersées. Les travaux de </w:t>
      </w:r>
      <w:proofErr w:type="spellStart"/>
      <w:r w:rsidRPr="00560548">
        <w:rPr>
          <w:rFonts w:cs="Arial"/>
          <w:color w:val="000000"/>
        </w:rPr>
        <w:t>Boistel</w:t>
      </w:r>
      <w:proofErr w:type="spellEnd"/>
      <w:r w:rsidRPr="00560548">
        <w:rPr>
          <w:rFonts w:cs="Arial"/>
          <w:color w:val="000000"/>
        </w:rPr>
        <w:t xml:space="preserve"> (2014) et </w:t>
      </w:r>
      <w:proofErr w:type="spellStart"/>
      <w:r w:rsidRPr="00560548">
        <w:rPr>
          <w:rFonts w:cs="Arial"/>
          <w:color w:val="000000"/>
        </w:rPr>
        <w:t>Compin</w:t>
      </w:r>
      <w:proofErr w:type="spellEnd"/>
      <w:r w:rsidRPr="00560548">
        <w:rPr>
          <w:rFonts w:cs="Arial"/>
          <w:color w:val="000000"/>
        </w:rPr>
        <w:t xml:space="preserve"> (2016) ont ouvert la voie à une réflexion sur les risques réputationnels et leurs effets sur la légitimité organisationnelle. Plus récemment, la thèse de </w:t>
      </w:r>
      <w:proofErr w:type="spellStart"/>
      <w:r w:rsidRPr="00560548">
        <w:rPr>
          <w:rFonts w:cs="Arial"/>
          <w:color w:val="000000"/>
        </w:rPr>
        <w:t>Taillard</w:t>
      </w:r>
      <w:proofErr w:type="spellEnd"/>
      <w:r w:rsidRPr="00560548">
        <w:rPr>
          <w:rFonts w:cs="Arial"/>
          <w:color w:val="000000"/>
        </w:rPr>
        <w:t xml:space="preserve"> (2025) a proposé une lecture renouvelée des désinformations de marque comme catalyseurs de </w:t>
      </w:r>
      <w:proofErr w:type="spellStart"/>
      <w:r w:rsidRPr="00560548">
        <w:rPr>
          <w:rFonts w:cs="Arial"/>
          <w:color w:val="000000"/>
        </w:rPr>
        <w:t>paracrises</w:t>
      </w:r>
      <w:proofErr w:type="spellEnd"/>
      <w:r w:rsidRPr="00560548">
        <w:rPr>
          <w:rFonts w:cs="Arial"/>
          <w:color w:val="000000"/>
        </w:rPr>
        <w:t>. Enfin, les recherches d’</w:t>
      </w:r>
      <w:proofErr w:type="spellStart"/>
      <w:r w:rsidRPr="00560548">
        <w:rPr>
          <w:rFonts w:cs="Arial"/>
          <w:color w:val="000000"/>
        </w:rPr>
        <w:t>Oukropec</w:t>
      </w:r>
      <w:proofErr w:type="spellEnd"/>
      <w:r w:rsidRPr="00560548">
        <w:rPr>
          <w:rFonts w:cs="Arial"/>
          <w:color w:val="000000"/>
        </w:rPr>
        <w:t xml:space="preserve"> (2024, 2025) ont montré que les réponses organisationnelles aux épisodes de désinformation s’inscrivent dans une dynamique hybride — ni entièrement fictive, ni strictement rationnelle — mobilisant des stratégies de médiation, de résilience et de reconstruction de la confiance.</w:t>
      </w:r>
    </w:p>
    <w:p w14:paraId="037BF0CC" w14:textId="14110104" w:rsidR="00560548" w:rsidRPr="00560548" w:rsidRDefault="00560548" w:rsidP="00560548">
      <w:r w:rsidRPr="00560548">
        <w:rPr>
          <w:rFonts w:cs="Arial"/>
          <w:color w:val="000000"/>
        </w:rPr>
        <w:t xml:space="preserve">Ces sujets n’ont pas encore fait l’objet, dans la revue </w:t>
      </w:r>
      <w:r w:rsidRPr="00560548">
        <w:rPr>
          <w:rFonts w:cs="Arial"/>
          <w:i/>
          <w:iCs/>
          <w:color w:val="000000"/>
        </w:rPr>
        <w:t>Communication &amp; Organisation</w:t>
      </w:r>
      <w:r w:rsidRPr="00560548">
        <w:rPr>
          <w:rFonts w:cs="Arial"/>
          <w:color w:val="000000"/>
        </w:rPr>
        <w:t>, d’un traitement unifié ou d’une véritable systématisation théorique. Depuis sa fondation, la revue a pourtant abordé, de manière indirecte, mais récurrente, des problématiques qui en constituent les prémices : le mensonge stratégique (1995), la rumeur et les bruits sociaux (1994), les risques réputationnels (2014, 2016), la responsabilité éthique (2016), la sécurité informationnelle et l’intelligence économique (1998),</w:t>
      </w:r>
      <w:r w:rsidR="00B706CC">
        <w:rPr>
          <w:rFonts w:cs="Arial"/>
          <w:color w:val="000000"/>
        </w:rPr>
        <w:t xml:space="preserve"> </w:t>
      </w:r>
      <w:r w:rsidRPr="00560548">
        <w:rPr>
          <w:rFonts w:cs="Arial"/>
          <w:color w:val="000000"/>
        </w:rPr>
        <w:t>la culture informationnelle des organisations (</w:t>
      </w:r>
      <w:proofErr w:type="spellStart"/>
      <w:r w:rsidRPr="00560548">
        <w:rPr>
          <w:rFonts w:cs="Arial"/>
          <w:color w:val="000000"/>
        </w:rPr>
        <w:t>Bullinge</w:t>
      </w:r>
      <w:proofErr w:type="spellEnd"/>
      <w:r w:rsidRPr="00560548">
        <w:rPr>
          <w:rFonts w:cs="Arial"/>
          <w:color w:val="000000"/>
        </w:rPr>
        <w:t xml:space="preserve"> &amp; Boutin, 2015</w:t>
      </w:r>
      <w:r w:rsidR="00B706CC">
        <w:rPr>
          <w:rFonts w:cs="Arial"/>
          <w:color w:val="000000"/>
        </w:rPr>
        <w:t> ;</w:t>
      </w:r>
      <w:r w:rsidRPr="00560548">
        <w:rPr>
          <w:rFonts w:cs="Arial"/>
          <w:color w:val="000000"/>
        </w:rPr>
        <w:t xml:space="preserve"> </w:t>
      </w:r>
      <w:proofErr w:type="spellStart"/>
      <w:r w:rsidRPr="00560548">
        <w:rPr>
          <w:rFonts w:cs="Arial"/>
          <w:color w:val="000000"/>
        </w:rPr>
        <w:t>Liquète</w:t>
      </w:r>
      <w:proofErr w:type="spellEnd"/>
      <w:r w:rsidRPr="00560548">
        <w:rPr>
          <w:rFonts w:cs="Arial"/>
          <w:color w:val="000000"/>
        </w:rPr>
        <w:t xml:space="preserve"> et al., 2017) la désinformation réputationnelle, visible à travers les pratiques de greenwashing (2012 et 2015) ou plus récemment (numéro 68 à paraître) les enjeux contemporains de la communication de crise. Ces différentes approches témoignent d’un intérêt constant pour les zones de tension entre vérité, discours et légitimité, en montrant comment les dispositifs de communication peuvent osciller entre transparence et dissimulation, authenticité et influence.</w:t>
      </w:r>
    </w:p>
    <w:p w14:paraId="3433DAAC" w14:textId="6B60B2B1" w:rsidR="00560548" w:rsidRPr="00560548" w:rsidRDefault="00560548" w:rsidP="00560548">
      <w:pPr>
        <w:rPr>
          <w:rFonts w:cs="Arial"/>
          <w:color w:val="000000"/>
        </w:rPr>
      </w:pPr>
      <w:r w:rsidRPr="00560548">
        <w:rPr>
          <w:rFonts w:cs="Arial"/>
          <w:color w:val="000000"/>
        </w:rPr>
        <w:t xml:space="preserve">Le numéro 70 entend relier et confronter les notions de désinformation, de </w:t>
      </w:r>
      <w:proofErr w:type="spellStart"/>
      <w:r w:rsidRPr="00560548">
        <w:rPr>
          <w:rFonts w:cs="Arial"/>
          <w:color w:val="000000"/>
        </w:rPr>
        <w:t>paracrise</w:t>
      </w:r>
      <w:proofErr w:type="spellEnd"/>
      <w:r w:rsidRPr="00560548">
        <w:rPr>
          <w:rFonts w:cs="Arial"/>
          <w:color w:val="000000"/>
        </w:rPr>
        <w:t xml:space="preserve"> et de sécurité informationnelle. L’intérêt d’un tel dossier est de proposer une lecture intégrée des vulnérabilités organisationnelles à l’ère numérique. Tout d’abord, la désinformation agit désormais comme un facteur de désordre organisationnel, engendrant des </w:t>
      </w:r>
      <w:proofErr w:type="spellStart"/>
      <w:r w:rsidRPr="00560548">
        <w:rPr>
          <w:rFonts w:cs="Arial"/>
          <w:color w:val="000000"/>
        </w:rPr>
        <w:t>paracrises</w:t>
      </w:r>
      <w:proofErr w:type="spellEnd"/>
      <w:r w:rsidRPr="00560548">
        <w:rPr>
          <w:rFonts w:cs="Arial"/>
          <w:color w:val="000000"/>
        </w:rPr>
        <w:t xml:space="preserve"> qui exigent des réponses stratégiques. Ensuite, les organisations se trouvent au cœur d’un nouvel écosystème de vulnérabilité informationnelle. La défiance des publics, les dynamiques algorithmiques et la concurrence attentionnelle modifient en profondeur les modes de légitimation et de gouvernance. Enfin, la désinformation questionne les fondements mêmes de la communication responsable et de la culture informationnelle, deux piliers centraux des recherches contemporaines en communication des organisations (Liquette et al. 2017</w:t>
      </w:r>
      <w:r w:rsidR="00B706CC">
        <w:rPr>
          <w:rFonts w:cs="Arial"/>
          <w:color w:val="000000"/>
        </w:rPr>
        <w:t xml:space="preserve"> </w:t>
      </w:r>
      <w:r w:rsidRPr="00560548">
        <w:rPr>
          <w:rFonts w:cs="Arial"/>
          <w:color w:val="000000"/>
        </w:rPr>
        <w:t xml:space="preserve">; </w:t>
      </w:r>
      <w:proofErr w:type="spellStart"/>
      <w:r w:rsidRPr="00560548">
        <w:rPr>
          <w:rFonts w:cs="Arial"/>
          <w:color w:val="000000"/>
        </w:rPr>
        <w:t>Catellani</w:t>
      </w:r>
      <w:proofErr w:type="spellEnd"/>
      <w:r w:rsidRPr="00560548">
        <w:rPr>
          <w:rFonts w:cs="Arial"/>
          <w:color w:val="000000"/>
        </w:rPr>
        <w:t>, 2015). Une telle mise en perspective vise à penser conjointement les processus de dérégulation, de gestion du risque et de maintien de la confiance.  </w:t>
      </w:r>
    </w:p>
    <w:p w14:paraId="4458C403" w14:textId="62D163DA" w:rsidR="00560548" w:rsidRPr="00560548" w:rsidRDefault="00560548" w:rsidP="00560548">
      <w:r w:rsidRPr="00560548">
        <w:rPr>
          <w:rFonts w:cs="Arial"/>
          <w:color w:val="000000"/>
        </w:rPr>
        <w:t>Les contributions pourront s'inscrire dans les trois axes suivants</w:t>
      </w:r>
      <w:r w:rsidR="00AE3E8E">
        <w:rPr>
          <w:rFonts w:cs="Arial"/>
          <w:color w:val="000000"/>
        </w:rPr>
        <w:t> :</w:t>
      </w:r>
    </w:p>
    <w:p w14:paraId="1C648487" w14:textId="77777777" w:rsidR="00560548" w:rsidRPr="00560548" w:rsidRDefault="00560548" w:rsidP="00560548">
      <w:r w:rsidRPr="00560548">
        <w:rPr>
          <w:rFonts w:cs="Arial"/>
          <w:b/>
          <w:bCs/>
          <w:color w:val="000000"/>
        </w:rPr>
        <w:t>Axe 1 - Désinformation, greenwashing, communication organisationnelle et réputation</w:t>
      </w:r>
    </w:p>
    <w:p w14:paraId="573CF5ED" w14:textId="77777777" w:rsidR="00560548" w:rsidRPr="00560548" w:rsidRDefault="00560548" w:rsidP="00560548">
      <w:r w:rsidRPr="00560548">
        <w:rPr>
          <w:rFonts w:cs="Arial"/>
          <w:color w:val="000000"/>
        </w:rPr>
        <w:t>L’étude des fake news constitue aujourd’hui une priorité mondiale. Le Forum économique mondial les classe parmi les menaces les plus pressantes à court terme, aux côtés des conflits armés et des catastrophes climatiques (Global Risks Report, 2025). Dans ce contexte de vulnérabilité informationnelle globale, les organisations se trouvent en première ligne face à la circulation de fausses nouvelles et à la défiance qu’elles alimentent.</w:t>
      </w:r>
    </w:p>
    <w:p w14:paraId="58B3587E" w14:textId="3B8B081F" w:rsidR="00560548" w:rsidRDefault="00560548" w:rsidP="00560548">
      <w:pPr>
        <w:spacing w:after="0"/>
        <w:rPr>
          <w:rFonts w:cs="Arial"/>
          <w:color w:val="000000"/>
        </w:rPr>
      </w:pPr>
      <w:r w:rsidRPr="00560548">
        <w:rPr>
          <w:rFonts w:cs="Arial"/>
          <w:color w:val="000000"/>
        </w:rPr>
        <w:t xml:space="preserve">Cet axe invite à analyser la manière dont les organisations sont confrontées à la désinformation — qu’elles en soient productrices, cibles ou médiatrices — ainsi qu’aux formes connexes de </w:t>
      </w:r>
      <w:proofErr w:type="spellStart"/>
      <w:r w:rsidRPr="00560548">
        <w:rPr>
          <w:rFonts w:cs="Arial"/>
          <w:color w:val="000000"/>
        </w:rPr>
        <w:t>washing</w:t>
      </w:r>
      <w:proofErr w:type="spellEnd"/>
      <w:r w:rsidRPr="00560548">
        <w:rPr>
          <w:rFonts w:cs="Arial"/>
          <w:color w:val="000000"/>
        </w:rPr>
        <w:t xml:space="preserve"> (green et social) qui fragilisent leur crédibilité. Il s’agit de comprendre comment la désinformation affecte la communication interne et externe, la construction de la confiance, la légitimité et la réputation des organisations dans des environnements médiatiques instables. </w:t>
      </w:r>
    </w:p>
    <w:p w14:paraId="7356B9FB" w14:textId="77777777" w:rsidR="00560548" w:rsidRPr="00560548" w:rsidRDefault="00560548" w:rsidP="00560548">
      <w:r w:rsidRPr="00560548">
        <w:rPr>
          <w:rFonts w:cs="Arial"/>
          <w:color w:val="000000"/>
        </w:rPr>
        <w:t>Les propositions pourront porter sur :</w:t>
      </w:r>
    </w:p>
    <w:p w14:paraId="6129B4B6"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la manière dont les organisations (entreprises, institutions publiques, ONG, collectivités) perçoivent, interprètent et catégorisent les phénomènes de désinformation qui les touchent directement ou indirectement</w:t>
      </w:r>
    </w:p>
    <w:p w14:paraId="1806A4ED"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les discours, dispositifs et stratégies communicationnels mobilisés pour prévenir, corriger ou combattre la désinformation dans les organisations,</w:t>
      </w:r>
    </w:p>
    <w:p w14:paraId="51F1E6C6"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xml:space="preserve"> les effets des fake news, du </w:t>
      </w:r>
      <w:r w:rsidRPr="00560548">
        <w:rPr>
          <w:rFonts w:cs="Arial"/>
          <w:i/>
          <w:iCs/>
          <w:color w:val="000000"/>
        </w:rPr>
        <w:t>greenwashing</w:t>
      </w:r>
      <w:r w:rsidRPr="00560548">
        <w:rPr>
          <w:rFonts w:cs="Arial"/>
          <w:color w:val="000000"/>
        </w:rPr>
        <w:t xml:space="preserve"> et du </w:t>
      </w:r>
      <w:proofErr w:type="spellStart"/>
      <w:r w:rsidRPr="00560548">
        <w:rPr>
          <w:rFonts w:cs="Arial"/>
          <w:i/>
          <w:iCs/>
          <w:color w:val="000000"/>
        </w:rPr>
        <w:t>socialwashing</w:t>
      </w:r>
      <w:proofErr w:type="spellEnd"/>
      <w:r w:rsidRPr="00560548">
        <w:rPr>
          <w:rFonts w:cs="Arial"/>
          <w:color w:val="000000"/>
        </w:rPr>
        <w:t xml:space="preserve"> sur la qualité du lien entre organisations et publics</w:t>
      </w:r>
    </w:p>
    <w:p w14:paraId="482F0921"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l’impact des fausses informations sur la gouvernance organisationnelle, notamment sur la prise de décision, la transparence, la coordination interservices et la gestion des priorités stratégiques</w:t>
      </w:r>
    </w:p>
    <w:p w14:paraId="4F7E109A"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les formes de réponse élaborées par les organisations face aux désinformations : communication corrective, silence stratégique, engagement narratif, médiation communautaire, ou communication responsable</w:t>
      </w:r>
    </w:p>
    <w:p w14:paraId="324FC714"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xml:space="preserve">le rôle du </w:t>
      </w:r>
      <w:proofErr w:type="spellStart"/>
      <w:r w:rsidRPr="00560548">
        <w:rPr>
          <w:rFonts w:cs="Arial"/>
          <w:i/>
          <w:iCs/>
          <w:color w:val="000000"/>
        </w:rPr>
        <w:t>community</w:t>
      </w:r>
      <w:proofErr w:type="spellEnd"/>
      <w:r w:rsidRPr="00560548">
        <w:rPr>
          <w:rFonts w:cs="Arial"/>
          <w:i/>
          <w:iCs/>
          <w:color w:val="000000"/>
        </w:rPr>
        <w:t xml:space="preserve"> management</w:t>
      </w:r>
      <w:r w:rsidRPr="00560548">
        <w:rPr>
          <w:rFonts w:cs="Arial"/>
          <w:color w:val="000000"/>
        </w:rPr>
        <w:t xml:space="preserve"> dans la veille, la détection, la régulation des conversations et la restauration de la confiance au sein des espaces numériques</w:t>
      </w:r>
    </w:p>
    <w:p w14:paraId="399509A8" w14:textId="77777777" w:rsidR="00560548" w:rsidRPr="00560548" w:rsidRDefault="00560548" w:rsidP="00560548">
      <w:pPr>
        <w:numPr>
          <w:ilvl w:val="0"/>
          <w:numId w:val="14"/>
        </w:numPr>
        <w:spacing w:before="0" w:after="0"/>
        <w:textAlignment w:val="baseline"/>
        <w:rPr>
          <w:rFonts w:cs="Arial"/>
          <w:color w:val="000000"/>
        </w:rPr>
      </w:pPr>
      <w:r w:rsidRPr="00560548">
        <w:rPr>
          <w:rFonts w:cs="Arial"/>
          <w:color w:val="000000"/>
        </w:rPr>
        <w:t xml:space="preserve">les dispositifs de veille, de </w:t>
      </w:r>
      <w:proofErr w:type="spellStart"/>
      <w:r w:rsidRPr="00560548">
        <w:rPr>
          <w:rFonts w:cs="Arial"/>
          <w:color w:val="000000"/>
        </w:rPr>
        <w:t>fact</w:t>
      </w:r>
      <w:proofErr w:type="spellEnd"/>
      <w:r w:rsidRPr="00560548">
        <w:rPr>
          <w:rFonts w:cs="Arial"/>
          <w:color w:val="000000"/>
        </w:rPr>
        <w:t>-checking et d’authentification mis en place pour anticiper, prévenir ou traiter ces menaces informationnelles</w:t>
      </w:r>
    </w:p>
    <w:p w14:paraId="25A03F22" w14:textId="77777777" w:rsidR="00560548" w:rsidRPr="00560548" w:rsidRDefault="00560548" w:rsidP="00560548">
      <w:pPr>
        <w:spacing w:before="100" w:beforeAutospacing="1" w:after="100" w:afterAutospacing="1"/>
        <w:rPr>
          <w:rFonts w:cs="Arial"/>
          <w:b/>
          <w:bCs/>
        </w:rPr>
      </w:pPr>
      <w:r w:rsidRPr="00560548">
        <w:rPr>
          <w:rFonts w:cs="Arial"/>
          <w:b/>
          <w:bCs/>
        </w:rPr>
        <w:t xml:space="preserve">Axe 2 - Les </w:t>
      </w:r>
      <w:proofErr w:type="spellStart"/>
      <w:r w:rsidRPr="00560548">
        <w:rPr>
          <w:rFonts w:cs="Arial"/>
          <w:b/>
          <w:bCs/>
        </w:rPr>
        <w:t>paracrises</w:t>
      </w:r>
      <w:proofErr w:type="spellEnd"/>
      <w:r w:rsidRPr="00560548">
        <w:rPr>
          <w:rFonts w:cs="Arial"/>
          <w:b/>
          <w:bCs/>
        </w:rPr>
        <w:t xml:space="preserve"> : stratégies organisationnelles et études de cas empiriques </w:t>
      </w:r>
    </w:p>
    <w:p w14:paraId="0FA2D1AC" w14:textId="77777777" w:rsidR="00560548" w:rsidRPr="00560548" w:rsidRDefault="00560548" w:rsidP="00560548">
      <w:pPr>
        <w:spacing w:before="100" w:beforeAutospacing="1" w:after="100" w:afterAutospacing="1"/>
        <w:rPr>
          <w:rFonts w:cs="Arial"/>
        </w:rPr>
      </w:pPr>
      <w:r w:rsidRPr="00560548">
        <w:rPr>
          <w:rFonts w:cs="Arial"/>
        </w:rPr>
        <w:t xml:space="preserve">Dans un environnement informationnel saturé, les organisations sont confrontées à des situations ambiguës et médiatisées, souvent amplifiées par la désinformation : les </w:t>
      </w:r>
      <w:proofErr w:type="spellStart"/>
      <w:r w:rsidRPr="00560548">
        <w:rPr>
          <w:rFonts w:cs="Arial"/>
        </w:rPr>
        <w:t>paracrises</w:t>
      </w:r>
      <w:proofErr w:type="spellEnd"/>
      <w:r w:rsidRPr="00560548">
        <w:rPr>
          <w:rFonts w:cs="Arial"/>
        </w:rPr>
        <w:t>. Celles-ci se caractérisent par la perte de contrôle narratif, l’implication d’acteurs multiples et des effets réputationnels tangibles.</w:t>
      </w:r>
    </w:p>
    <w:p w14:paraId="7452708C" w14:textId="77777777" w:rsidR="00560548" w:rsidRPr="00560548" w:rsidRDefault="00560548" w:rsidP="00560548">
      <w:pPr>
        <w:spacing w:before="100" w:beforeAutospacing="1" w:after="100" w:afterAutospacing="1"/>
        <w:rPr>
          <w:rFonts w:cs="Arial"/>
        </w:rPr>
      </w:pPr>
      <w:r w:rsidRPr="00560548">
        <w:rPr>
          <w:rFonts w:cs="Arial"/>
        </w:rPr>
        <w:t>Cet axe invite à :</w:t>
      </w:r>
    </w:p>
    <w:p w14:paraId="19B4AC7D" w14:textId="77777777" w:rsidR="00560548" w:rsidRPr="00560548" w:rsidRDefault="00560548" w:rsidP="00560548">
      <w:pPr>
        <w:pStyle w:val="Paragraphedeliste"/>
        <w:numPr>
          <w:ilvl w:val="0"/>
          <w:numId w:val="16"/>
        </w:numPr>
        <w:spacing w:before="100" w:beforeAutospacing="1" w:after="100" w:afterAutospacing="1"/>
        <w:rPr>
          <w:rFonts w:cs="Arial"/>
        </w:rPr>
      </w:pPr>
      <w:r w:rsidRPr="00560548">
        <w:rPr>
          <w:rFonts w:cs="Arial"/>
        </w:rPr>
        <w:t xml:space="preserve">théoriser la notion de </w:t>
      </w:r>
      <w:proofErr w:type="spellStart"/>
      <w:r w:rsidRPr="00560548">
        <w:rPr>
          <w:rFonts w:cs="Arial"/>
        </w:rPr>
        <w:t>paracrise</w:t>
      </w:r>
      <w:proofErr w:type="spellEnd"/>
      <w:r w:rsidRPr="00560548">
        <w:rPr>
          <w:rFonts w:cs="Arial"/>
        </w:rPr>
        <w:t xml:space="preserve"> dans le contexte francophone : comment l’articuler aux théories de la communication des organisations et en quoi se distingue-t-elle des approches anglo-saxonnes ?</w:t>
      </w:r>
    </w:p>
    <w:p w14:paraId="4349F42D" w14:textId="77777777" w:rsidR="00560548" w:rsidRPr="00560548" w:rsidRDefault="00560548" w:rsidP="00560548">
      <w:pPr>
        <w:pStyle w:val="Paragraphedeliste"/>
        <w:numPr>
          <w:ilvl w:val="0"/>
          <w:numId w:val="16"/>
        </w:numPr>
        <w:spacing w:before="100" w:beforeAutospacing="1" w:after="100" w:afterAutospacing="1"/>
        <w:rPr>
          <w:rFonts w:cs="Arial"/>
        </w:rPr>
      </w:pPr>
      <w:r w:rsidRPr="00560548">
        <w:rPr>
          <w:rFonts w:cs="Arial"/>
        </w:rPr>
        <w:t xml:space="preserve">documenter empiriquement des </w:t>
      </w:r>
      <w:proofErr w:type="spellStart"/>
      <w:r w:rsidRPr="00560548">
        <w:rPr>
          <w:rFonts w:cs="Arial"/>
        </w:rPr>
        <w:t>paracrises</w:t>
      </w:r>
      <w:proofErr w:type="spellEnd"/>
      <w:r w:rsidRPr="00560548">
        <w:rPr>
          <w:rFonts w:cs="Arial"/>
        </w:rPr>
        <w:t xml:space="preserve"> observées dans des entreprises, institutions publiques ou associations : quelles formes prennent-elles, comment les acteurs y réagissent-ils et quelles stratégies (silence, correction, engagement, narration, mobilisation communautaire) se révèlent efficaces ?</w:t>
      </w:r>
    </w:p>
    <w:p w14:paraId="0729481B" w14:textId="77777777" w:rsidR="00560548" w:rsidRPr="00560548" w:rsidRDefault="00560548" w:rsidP="00560548">
      <w:pPr>
        <w:spacing w:before="100" w:beforeAutospacing="1" w:after="100" w:afterAutospacing="1"/>
        <w:rPr>
          <w:rFonts w:cs="Arial"/>
        </w:rPr>
      </w:pPr>
      <w:r w:rsidRPr="00560548">
        <w:rPr>
          <w:rFonts w:cs="Arial"/>
        </w:rPr>
        <w:t>Les contributions pourront ainsi éclairer la place de la responsabilité et de la confiance dans la gestion des vulnérabilités communicationnelles.</w:t>
      </w:r>
    </w:p>
    <w:p w14:paraId="55BFDA8C" w14:textId="77777777" w:rsidR="00560548" w:rsidRPr="00560548" w:rsidRDefault="00560548" w:rsidP="00560548">
      <w:pPr>
        <w:rPr>
          <w:b/>
          <w:bCs/>
        </w:rPr>
      </w:pPr>
      <w:r w:rsidRPr="00560548">
        <w:rPr>
          <w:rFonts w:cs="Arial"/>
          <w:b/>
          <w:bCs/>
          <w:color w:val="000000"/>
        </w:rPr>
        <w:t xml:space="preserve"> Axe 3 </w:t>
      </w:r>
      <w:r w:rsidRPr="00560548">
        <w:rPr>
          <w:rFonts w:cs="Arial"/>
          <w:color w:val="000000"/>
        </w:rPr>
        <w:t xml:space="preserve">– </w:t>
      </w:r>
      <w:r w:rsidRPr="00560548">
        <w:rPr>
          <w:rFonts w:cs="Arial"/>
          <w:b/>
          <w:bCs/>
        </w:rPr>
        <w:t>Enjeux de sécurité informationnelle et approches communicationnelles dans les organisations</w:t>
      </w:r>
    </w:p>
    <w:p w14:paraId="3C30032D" w14:textId="77777777" w:rsidR="00560548" w:rsidRPr="00560548" w:rsidRDefault="00560548" w:rsidP="00560548">
      <w:pPr>
        <w:spacing w:after="0"/>
        <w:rPr>
          <w:rFonts w:cs="Arial"/>
          <w:color w:val="000000"/>
        </w:rPr>
      </w:pPr>
      <w:r w:rsidRPr="00560548">
        <w:rPr>
          <w:rFonts w:cs="Arial"/>
          <w:color w:val="000000"/>
        </w:rPr>
        <w:t xml:space="preserve">La littérature scientifique se concentre largement sur les dispositifs techniques et organisationnels destinés à garantir la sécurité au sein des institutions. Toutefois, la contribution des sciences de l’information et de la communication à la compréhension et à la construction de la sécurité informationnelle reste encore insuffisamment explorée. Cette proposition invite à interroger les fondements théoriques et méthodologiques susceptibles d’éclairer ce concept, en considérant la sécurité non seulement comme un ensemble de pratiques techniques, mais aussi comme un processus communicationnel et social. </w:t>
      </w:r>
    </w:p>
    <w:p w14:paraId="18F6B8C8" w14:textId="77777777" w:rsidR="00560548" w:rsidRPr="00560548" w:rsidRDefault="00560548" w:rsidP="00560548">
      <w:pPr>
        <w:spacing w:after="0"/>
        <w:rPr>
          <w:rFonts w:cs="Arial"/>
          <w:color w:val="000000"/>
        </w:rPr>
      </w:pPr>
      <w:r w:rsidRPr="00560548">
        <w:rPr>
          <w:rFonts w:cs="Arial"/>
          <w:color w:val="000000"/>
        </w:rPr>
        <w:t xml:space="preserve">Les questions suivantes seront soulevées : </w:t>
      </w:r>
    </w:p>
    <w:p w14:paraId="4C1B858E" w14:textId="77777777" w:rsidR="00560548" w:rsidRPr="00560548" w:rsidRDefault="00560548" w:rsidP="00560548">
      <w:pPr>
        <w:pStyle w:val="Paragraphedeliste"/>
        <w:numPr>
          <w:ilvl w:val="0"/>
          <w:numId w:val="15"/>
        </w:numPr>
        <w:spacing w:before="0" w:after="0"/>
      </w:pPr>
      <w:r w:rsidRPr="00560548">
        <w:rPr>
          <w:rFonts w:cs="Arial"/>
          <w:color w:val="000000"/>
        </w:rPr>
        <w:t xml:space="preserve">Quels dispositifs de veille, de </w:t>
      </w:r>
      <w:proofErr w:type="spellStart"/>
      <w:r w:rsidRPr="00560548">
        <w:rPr>
          <w:rFonts w:cs="Arial"/>
          <w:i/>
          <w:iCs/>
          <w:color w:val="000000"/>
        </w:rPr>
        <w:t>fact</w:t>
      </w:r>
      <w:proofErr w:type="spellEnd"/>
      <w:r w:rsidRPr="00560548">
        <w:rPr>
          <w:rFonts w:cs="Arial"/>
          <w:i/>
          <w:iCs/>
          <w:color w:val="000000"/>
        </w:rPr>
        <w:t>-checking</w:t>
      </w:r>
      <w:r w:rsidRPr="00560548">
        <w:rPr>
          <w:rFonts w:cs="Arial"/>
          <w:color w:val="000000"/>
        </w:rPr>
        <w:t>, d’authentification de l’information ou de gouvernance informationnelle permettent de prévenir et de répondre efficacement à ces menaces</w:t>
      </w:r>
      <w:r w:rsidRPr="00560548">
        <w:rPr>
          <w:rFonts w:ascii="Times New Roman" w:hAnsi="Times New Roman"/>
          <w:color w:val="000000"/>
        </w:rPr>
        <w:t> </w:t>
      </w:r>
      <w:r w:rsidRPr="00560548">
        <w:rPr>
          <w:rFonts w:cs="Arial"/>
          <w:color w:val="000000"/>
        </w:rPr>
        <w:t xml:space="preserve">? </w:t>
      </w:r>
    </w:p>
    <w:p w14:paraId="56DF7B91" w14:textId="77777777" w:rsidR="00560548" w:rsidRPr="00560548" w:rsidRDefault="00560548" w:rsidP="00560548">
      <w:pPr>
        <w:pStyle w:val="Paragraphedeliste"/>
        <w:numPr>
          <w:ilvl w:val="0"/>
          <w:numId w:val="15"/>
        </w:numPr>
        <w:spacing w:before="0" w:after="0"/>
      </w:pPr>
      <w:r w:rsidRPr="00560548">
        <w:rPr>
          <w:rFonts w:cs="Arial"/>
          <w:color w:val="000000"/>
        </w:rPr>
        <w:t>Comment les logiques de sécurité informationnelle et de résilience organisationnelle se construisent-elles dans des environnements instables et fragmentés</w:t>
      </w:r>
      <w:r w:rsidRPr="00560548">
        <w:rPr>
          <w:rFonts w:ascii="Times New Roman" w:hAnsi="Times New Roman"/>
          <w:color w:val="000000"/>
        </w:rPr>
        <w:t> </w:t>
      </w:r>
      <w:r w:rsidRPr="00560548">
        <w:rPr>
          <w:rFonts w:cs="Arial"/>
          <w:color w:val="000000"/>
        </w:rPr>
        <w:t>?</w:t>
      </w:r>
      <w:r w:rsidRPr="00560548">
        <w:rPr>
          <w:rFonts w:cs="Garamond"/>
          <w:color w:val="000000"/>
        </w:rPr>
        <w:t> </w:t>
      </w:r>
    </w:p>
    <w:p w14:paraId="5694417E" w14:textId="77777777" w:rsidR="00560548" w:rsidRPr="00560548" w:rsidRDefault="00560548" w:rsidP="00560548">
      <w:pPr>
        <w:spacing w:after="0"/>
      </w:pPr>
      <w:r w:rsidRPr="00560548">
        <w:rPr>
          <w:rFonts w:cs="Arial"/>
          <w:color w:val="000000"/>
        </w:rPr>
        <w:t>Les recherches attendues pourront mobiliser diverses approches et s’appuyer sur des études empiriques révélant comment les acteurs ou les organisations élaborent, négocient et incarnent la sécurité informationnelle dans les contextes professionnels. Il s’agit, en somme, de repenser la sécurité comme un construit collectif où les SIC jouent un rôle structurant dans la production de la confiance et du sens face aux vulnérabilités des organisations.</w:t>
      </w:r>
    </w:p>
    <w:p w14:paraId="10A1541F" w14:textId="77777777" w:rsidR="00560548" w:rsidRPr="00560548" w:rsidRDefault="00560548" w:rsidP="00560548"/>
    <w:p w14:paraId="1824D878" w14:textId="77777777" w:rsidR="00560548" w:rsidRPr="00560548" w:rsidRDefault="00560548" w:rsidP="00560548">
      <w:r w:rsidRPr="00560548">
        <w:rPr>
          <w:rFonts w:cs="Arial"/>
          <w:b/>
          <w:bCs/>
          <w:color w:val="000000"/>
        </w:rPr>
        <w:t>Appel</w:t>
      </w:r>
    </w:p>
    <w:p w14:paraId="589137B4" w14:textId="77777777" w:rsidR="00560548" w:rsidRPr="00560548" w:rsidRDefault="00560548" w:rsidP="00560548">
      <w:r w:rsidRPr="00560548">
        <w:rPr>
          <w:rFonts w:cs="Arial"/>
          <w:color w:val="000000"/>
        </w:rPr>
        <w:t xml:space="preserve">L'objectif de ce numéro est d'apporter un éclairage sur ces questionnements autour des trois axes afin de mieux comprendre la nature de la désinformation et les choix effectués par les organisations en contexte d’incertitude, de vulnérabilité et de </w:t>
      </w:r>
      <w:proofErr w:type="spellStart"/>
      <w:r w:rsidRPr="00560548">
        <w:rPr>
          <w:rFonts w:cs="Arial"/>
          <w:color w:val="000000"/>
        </w:rPr>
        <w:t>paracrise</w:t>
      </w:r>
      <w:proofErr w:type="spellEnd"/>
      <w:r w:rsidRPr="00560548">
        <w:rPr>
          <w:rFonts w:cs="Arial"/>
          <w:color w:val="000000"/>
        </w:rPr>
        <w:t>. Nous invitons les auteurs et autrices en sciences de l’information et de la communication, mais aussi dans les disciplines connexes, à faire des propositions sur des approches empiriques, théoriques, conceptuelles ou méthodologiques, fondées sur des études de cas, des corpus médiatiques et organisationnels, des dispositifs de veille, des recherches-actions ou des comparaisons sectorielles</w:t>
      </w:r>
      <w:r w:rsidRPr="00560548">
        <w:rPr>
          <w:rFonts w:cs="Arial"/>
          <w:color w:val="0070C0"/>
        </w:rPr>
        <w:t xml:space="preserve">. </w:t>
      </w:r>
      <w:r w:rsidRPr="00560548">
        <w:rPr>
          <w:rFonts w:cs="Arial"/>
          <w:color w:val="000000"/>
        </w:rPr>
        <w:t>Ce numéro ambitionne ainsi de contribuer à enrichir la littérature actuelle dans le domaine francophone et international, en cherchant à identifier les points de convergence pour fonder un cadre théorique commun à ces phénomènes. </w:t>
      </w:r>
    </w:p>
    <w:p w14:paraId="5612D280" w14:textId="77777777" w:rsidR="00560548" w:rsidRPr="00560548" w:rsidRDefault="00560548" w:rsidP="00560548">
      <w:pPr>
        <w:spacing w:after="0"/>
      </w:pPr>
    </w:p>
    <w:p w14:paraId="032F00D9" w14:textId="77777777" w:rsidR="007506DA" w:rsidRDefault="007506DA" w:rsidP="00F23F70">
      <w:pPr>
        <w:rPr>
          <w:rFonts w:eastAsia="Calibri"/>
        </w:rPr>
      </w:pPr>
    </w:p>
    <w:p w14:paraId="1C4843F2" w14:textId="77777777" w:rsidR="000611B3" w:rsidRPr="007506DA" w:rsidRDefault="00170F0C" w:rsidP="00F23F70">
      <w:pPr>
        <w:rPr>
          <w:rFonts w:eastAsia="Calibri"/>
          <w:sz w:val="44"/>
          <w:szCs w:val="44"/>
        </w:rPr>
      </w:pPr>
      <w:bookmarkStart w:id="0" w:name="_2bjdbctq9zzg" w:colFirst="0" w:colLast="0"/>
      <w:bookmarkEnd w:id="0"/>
      <w:r w:rsidRPr="007506DA">
        <w:rPr>
          <w:rFonts w:eastAsia="Calibri"/>
          <w:sz w:val="44"/>
          <w:szCs w:val="44"/>
        </w:rPr>
        <w:t>Calendrier et normes de composition</w:t>
      </w:r>
    </w:p>
    <w:p w14:paraId="1B636565" w14:textId="16F0A82F" w:rsidR="000611B3" w:rsidRDefault="00170F0C" w:rsidP="00F23F70">
      <w:pPr>
        <w:rPr>
          <w:rFonts w:eastAsia="Calibri"/>
          <w:sz w:val="16"/>
          <w:szCs w:val="16"/>
        </w:rPr>
      </w:pPr>
      <w:r w:rsidRPr="00FC7539">
        <w:rPr>
          <w:rFonts w:eastAsia="Calibri"/>
          <w:b/>
        </w:rPr>
        <w:t>Calendrier</w:t>
      </w:r>
    </w:p>
    <w:p w14:paraId="56B9E9D2" w14:textId="01937B0D" w:rsidR="00FC7539" w:rsidRPr="00E96615" w:rsidRDefault="00FC7539" w:rsidP="00E179F4">
      <w:pPr>
        <w:pStyle w:val="Paragraphedeliste"/>
        <w:numPr>
          <w:ilvl w:val="0"/>
          <w:numId w:val="18"/>
        </w:numPr>
        <w:rPr>
          <w:rFonts w:eastAsia="Calibri"/>
          <w:b/>
          <w:bCs/>
        </w:rPr>
      </w:pPr>
      <w:r w:rsidRPr="00E96615">
        <w:rPr>
          <w:rFonts w:eastAsia="Calibri"/>
          <w:b/>
          <w:bCs/>
        </w:rPr>
        <w:t>Envoi des proposition</w:t>
      </w:r>
      <w:r w:rsidR="00A53747" w:rsidRPr="00E96615">
        <w:rPr>
          <w:rFonts w:eastAsia="Calibri"/>
          <w:b/>
          <w:bCs/>
        </w:rPr>
        <w:t>s</w:t>
      </w:r>
      <w:r w:rsidRPr="00E96615">
        <w:rPr>
          <w:rFonts w:eastAsia="Calibri"/>
          <w:b/>
          <w:bCs/>
        </w:rPr>
        <w:t xml:space="preserve"> sous forme de résumés : </w:t>
      </w:r>
      <w:r w:rsidR="00A53747" w:rsidRPr="00E96615">
        <w:rPr>
          <w:rFonts w:eastAsia="Calibri"/>
          <w:b/>
          <w:bCs/>
        </w:rPr>
        <w:t>1</w:t>
      </w:r>
      <w:r w:rsidR="00E96615" w:rsidRPr="00E96615">
        <w:rPr>
          <w:rFonts w:eastAsia="Calibri"/>
          <w:b/>
          <w:bCs/>
        </w:rPr>
        <w:t>2 janvier 2026</w:t>
      </w:r>
    </w:p>
    <w:p w14:paraId="354C11CE" w14:textId="5DE1BC63" w:rsidR="00FC7539" w:rsidRDefault="00FC7539" w:rsidP="00E179F4">
      <w:pPr>
        <w:pStyle w:val="Paragraphedeliste"/>
        <w:numPr>
          <w:ilvl w:val="0"/>
          <w:numId w:val="18"/>
        </w:numPr>
        <w:rPr>
          <w:rFonts w:eastAsia="Calibri"/>
        </w:rPr>
      </w:pPr>
      <w:r w:rsidRPr="00A53747">
        <w:rPr>
          <w:rFonts w:eastAsia="Calibri"/>
        </w:rPr>
        <w:t>Retour aux auteurs de la sélection des propositions</w:t>
      </w:r>
      <w:r w:rsidR="00E96615">
        <w:rPr>
          <w:rFonts w:eastAsia="Calibri"/>
        </w:rPr>
        <w:t> : 10 février 2026</w:t>
      </w:r>
    </w:p>
    <w:p w14:paraId="38050146" w14:textId="66764830" w:rsidR="00E96615" w:rsidRPr="00A53747" w:rsidRDefault="00E96615" w:rsidP="00E179F4">
      <w:pPr>
        <w:pStyle w:val="Paragraphedeliste"/>
        <w:numPr>
          <w:ilvl w:val="0"/>
          <w:numId w:val="18"/>
        </w:numPr>
        <w:rPr>
          <w:rFonts w:eastAsia="Calibri"/>
        </w:rPr>
      </w:pPr>
      <w:r>
        <w:rPr>
          <w:rFonts w:eastAsia="Calibri"/>
        </w:rPr>
        <w:t>Soumission de l’article pour évaluation en double aveugle : 10 juin 2026</w:t>
      </w:r>
    </w:p>
    <w:p w14:paraId="247733DD" w14:textId="32294C2C" w:rsidR="00FC7539" w:rsidRDefault="00FC7539" w:rsidP="00E179F4">
      <w:pPr>
        <w:pStyle w:val="Paragraphedeliste"/>
        <w:numPr>
          <w:ilvl w:val="0"/>
          <w:numId w:val="18"/>
        </w:numPr>
        <w:rPr>
          <w:rFonts w:eastAsia="Calibri"/>
        </w:rPr>
      </w:pPr>
      <w:r w:rsidRPr="00A53747">
        <w:rPr>
          <w:rFonts w:eastAsia="Calibri"/>
        </w:rPr>
        <w:t xml:space="preserve">Retour aux auteurs de l’évaluation par </w:t>
      </w:r>
      <w:r w:rsidR="00A53747">
        <w:rPr>
          <w:rFonts w:eastAsia="Calibri"/>
        </w:rPr>
        <w:t xml:space="preserve">le </w:t>
      </w:r>
      <w:r w:rsidRPr="00A53747">
        <w:rPr>
          <w:rFonts w:eastAsia="Calibri"/>
        </w:rPr>
        <w:t>comité de lecture</w:t>
      </w:r>
      <w:r w:rsidR="00B56798" w:rsidRPr="00A53747">
        <w:rPr>
          <w:rFonts w:eastAsia="Calibri"/>
        </w:rPr>
        <w:t> :</w:t>
      </w:r>
      <w:r w:rsidR="00D832EF">
        <w:rPr>
          <w:rFonts w:eastAsia="Calibri"/>
        </w:rPr>
        <w:t xml:space="preserve"> </w:t>
      </w:r>
      <w:r w:rsidRPr="00A53747">
        <w:rPr>
          <w:rFonts w:eastAsia="Calibri"/>
        </w:rPr>
        <w:t>1</w:t>
      </w:r>
      <w:r w:rsidR="00E96615">
        <w:rPr>
          <w:rFonts w:eastAsia="Calibri"/>
        </w:rPr>
        <w:t>5 juillet 2026</w:t>
      </w:r>
    </w:p>
    <w:p w14:paraId="3E2CF5E2" w14:textId="62878A58" w:rsidR="00E96615" w:rsidRPr="00AE3E8E" w:rsidRDefault="00E96615" w:rsidP="00E179F4">
      <w:pPr>
        <w:pStyle w:val="Paragraphedeliste"/>
        <w:numPr>
          <w:ilvl w:val="0"/>
          <w:numId w:val="18"/>
        </w:numPr>
        <w:rPr>
          <w:rFonts w:eastAsia="Calibri"/>
          <w:b/>
          <w:bCs/>
        </w:rPr>
      </w:pPr>
      <w:r w:rsidRPr="00AE3E8E">
        <w:rPr>
          <w:rFonts w:eastAsia="Calibri"/>
          <w:b/>
          <w:bCs/>
        </w:rPr>
        <w:t>Remise de l’article intégral : 30 septembre 2026</w:t>
      </w:r>
    </w:p>
    <w:p w14:paraId="095E2CF9" w14:textId="49843539" w:rsidR="00E96615" w:rsidRPr="00AE3E8E" w:rsidRDefault="00E96615" w:rsidP="00AE3E8E">
      <w:pPr>
        <w:pStyle w:val="Paragraphedeliste"/>
        <w:numPr>
          <w:ilvl w:val="0"/>
          <w:numId w:val="18"/>
        </w:numPr>
        <w:rPr>
          <w:rFonts w:eastAsia="Calibri"/>
          <w:b/>
          <w:bCs/>
        </w:rPr>
      </w:pPr>
      <w:r w:rsidRPr="00E96615">
        <w:rPr>
          <w:rFonts w:eastAsia="Calibri"/>
          <w:b/>
          <w:bCs/>
        </w:rPr>
        <w:t>Publication du numéro : décembre 2026</w:t>
      </w:r>
    </w:p>
    <w:p w14:paraId="05CF0541" w14:textId="31CDCF93" w:rsidR="000611B3" w:rsidRPr="00AE3E8E" w:rsidRDefault="00170F0C" w:rsidP="00AE3E8E">
      <w:pPr>
        <w:rPr>
          <w:rFonts w:eastAsia="Calibri"/>
        </w:rPr>
      </w:pPr>
      <w:r w:rsidRPr="00AE3E8E">
        <w:rPr>
          <w:rFonts w:eastAsia="Calibri"/>
          <w:b/>
          <w:color w:val="373737"/>
        </w:rPr>
        <w:t>Consignes de rédaction des propositions (résumés) :</w:t>
      </w:r>
    </w:p>
    <w:p w14:paraId="7209319A" w14:textId="77777777" w:rsidR="000611B3" w:rsidRDefault="00170F0C" w:rsidP="00E179F4">
      <w:pPr>
        <w:pStyle w:val="Paragraphedeliste"/>
        <w:numPr>
          <w:ilvl w:val="0"/>
          <w:numId w:val="18"/>
        </w:numPr>
      </w:pPr>
      <w:r w:rsidRPr="007506DA">
        <w:rPr>
          <w:rFonts w:eastAsia="Calibri"/>
        </w:rPr>
        <w:t>6000 caractères, espaces compris</w:t>
      </w:r>
    </w:p>
    <w:p w14:paraId="65C0DA7A" w14:textId="77777777" w:rsidR="000611B3" w:rsidRDefault="00170F0C" w:rsidP="00E179F4">
      <w:pPr>
        <w:pStyle w:val="Paragraphedeliste"/>
        <w:numPr>
          <w:ilvl w:val="0"/>
          <w:numId w:val="18"/>
        </w:numPr>
      </w:pPr>
      <w:r w:rsidRPr="007506DA">
        <w:rPr>
          <w:rFonts w:eastAsia="Calibri"/>
        </w:rPr>
        <w:t>Bibliographie non comptabilisée dans le nombre de caractères</w:t>
      </w:r>
    </w:p>
    <w:p w14:paraId="328A6C23" w14:textId="77777777" w:rsidR="000611B3" w:rsidRDefault="00170F0C" w:rsidP="00E179F4">
      <w:pPr>
        <w:pStyle w:val="Paragraphedeliste"/>
        <w:numPr>
          <w:ilvl w:val="0"/>
          <w:numId w:val="18"/>
        </w:numPr>
      </w:pPr>
      <w:r w:rsidRPr="007506DA">
        <w:rPr>
          <w:rFonts w:eastAsia="Calibri"/>
        </w:rPr>
        <w:t>Sur une page de garde : titre de la proposition, prénom et nom de l’auteur, université, laboratoire, adresse électronique, cinq mots-clés</w:t>
      </w:r>
    </w:p>
    <w:p w14:paraId="0153B576" w14:textId="77777777" w:rsidR="007506DA" w:rsidRPr="007506DA" w:rsidRDefault="00170F0C" w:rsidP="00E179F4">
      <w:pPr>
        <w:pStyle w:val="Paragraphedeliste"/>
        <w:numPr>
          <w:ilvl w:val="0"/>
          <w:numId w:val="18"/>
        </w:numPr>
      </w:pPr>
      <w:r w:rsidRPr="007506DA">
        <w:rPr>
          <w:rFonts w:eastAsia="Calibri"/>
        </w:rPr>
        <w:t>Le résumé doit permettre de bien identifier la problématisation, le cadre théorique et conceptuel, la méthode, et les principaux résultats.</w:t>
      </w:r>
    </w:p>
    <w:p w14:paraId="142E4315" w14:textId="5278C132" w:rsidR="000611B3" w:rsidRPr="007506DA" w:rsidRDefault="00170F0C" w:rsidP="00F23F70">
      <w:pPr>
        <w:pStyle w:val="Paragraphedeliste"/>
        <w:numPr>
          <w:ilvl w:val="0"/>
          <w:numId w:val="11"/>
        </w:numPr>
      </w:pPr>
      <w:r w:rsidRPr="007506DA">
        <w:rPr>
          <w:rFonts w:eastAsia="Calibri"/>
          <w:color w:val="373737"/>
        </w:rPr>
        <w:t xml:space="preserve">Les propositions seront </w:t>
      </w:r>
      <w:r w:rsidR="007506DA" w:rsidRPr="007506DA">
        <w:rPr>
          <w:rFonts w:eastAsia="Calibri"/>
          <w:color w:val="373737"/>
        </w:rPr>
        <w:t xml:space="preserve">déposées sur la plateforme de soumission de la revue : </w:t>
      </w:r>
      <w:hyperlink r:id="rId8" w:history="1">
        <w:r w:rsidR="007506DA" w:rsidRPr="00584048">
          <w:rPr>
            <w:rStyle w:val="Lienhypertexte"/>
            <w:rFonts w:eastAsia="Calibri"/>
          </w:rPr>
          <w:t>https://revues.u-bordeaux-montaigne.fr/cometorg/index</w:t>
        </w:r>
      </w:hyperlink>
      <w:r w:rsidR="007506DA">
        <w:rPr>
          <w:rFonts w:eastAsia="Calibri"/>
          <w:color w:val="373737"/>
        </w:rPr>
        <w:t xml:space="preserve"> </w:t>
      </w:r>
    </w:p>
    <w:p w14:paraId="3EF3C1AD" w14:textId="77777777" w:rsidR="000611B3" w:rsidRDefault="00170F0C" w:rsidP="00F23F70">
      <w:pPr>
        <w:rPr>
          <w:rFonts w:eastAsia="Calibri"/>
          <w:color w:val="373737"/>
        </w:rPr>
      </w:pPr>
      <w:r>
        <w:rPr>
          <w:rFonts w:eastAsia="Calibri"/>
          <w:b/>
          <w:color w:val="373737"/>
        </w:rPr>
        <w:t>Consignes de rédaction des articles définitifs</w:t>
      </w:r>
      <w:r>
        <w:rPr>
          <w:rFonts w:eastAsia="Calibri"/>
          <w:color w:val="373737"/>
        </w:rPr>
        <w:t xml:space="preserve"> :</w:t>
      </w:r>
    </w:p>
    <w:p w14:paraId="2047E1CA" w14:textId="5C0DF75D" w:rsidR="00E96615" w:rsidRPr="00E96615" w:rsidRDefault="00170F0C" w:rsidP="00E96615">
      <w:pPr>
        <w:pStyle w:val="Paragraphedeliste"/>
        <w:numPr>
          <w:ilvl w:val="0"/>
          <w:numId w:val="17"/>
        </w:numPr>
        <w:rPr>
          <w:rFonts w:eastAsia="Calibri"/>
        </w:rPr>
      </w:pPr>
      <w:r w:rsidRPr="00E96615">
        <w:rPr>
          <w:rFonts w:eastAsia="Calibri"/>
        </w:rPr>
        <w:t xml:space="preserve">35 000 </w:t>
      </w:r>
      <w:r w:rsidR="007506DA" w:rsidRPr="00E96615">
        <w:rPr>
          <w:rFonts w:eastAsia="Calibri"/>
        </w:rPr>
        <w:t xml:space="preserve">à 40 000 </w:t>
      </w:r>
      <w:r w:rsidRPr="00E96615">
        <w:rPr>
          <w:rFonts w:eastAsia="Calibri"/>
        </w:rPr>
        <w:t>caractères, espaces compris, bibliographie comprise</w:t>
      </w:r>
    </w:p>
    <w:p w14:paraId="17E320B1" w14:textId="6B85DD47" w:rsidR="00E96615" w:rsidRPr="00E96615" w:rsidRDefault="00E96615" w:rsidP="00E96615">
      <w:pPr>
        <w:pStyle w:val="Paragraphedeliste"/>
        <w:numPr>
          <w:ilvl w:val="0"/>
          <w:numId w:val="17"/>
        </w:numPr>
      </w:pPr>
      <w:r w:rsidRPr="00E96615">
        <w:rPr>
          <w:rFonts w:cs="Arial"/>
          <w:color w:val="000000"/>
        </w:rPr>
        <w:t>Les normes de mise en page des articles définitifs sont accessibles en ligne sur le site de Communication &amp; organisation :</w:t>
      </w:r>
      <w:hyperlink r:id="rId9" w:history="1">
        <w:r w:rsidRPr="00E96615">
          <w:rPr>
            <w:rFonts w:cs="Arial"/>
            <w:color w:val="000000"/>
          </w:rPr>
          <w:t> </w:t>
        </w:r>
      </w:hyperlink>
    </w:p>
    <w:p w14:paraId="7F69F426" w14:textId="6D3F3C91" w:rsidR="00E96615" w:rsidRPr="00E96615" w:rsidRDefault="003E0519" w:rsidP="00E96615">
      <w:pPr>
        <w:pStyle w:val="Paragraphedeliste"/>
      </w:pPr>
      <w:hyperlink r:id="rId10" w:history="1">
        <w:r w:rsidR="00E96615" w:rsidRPr="00E96615">
          <w:rPr>
            <w:rStyle w:val="Lienhypertexte"/>
            <w:rFonts w:cs="Arial"/>
          </w:rPr>
          <w:t>https://revues.u-bordeaux-montaigne.fr/cometorg/about/submissions</w:t>
        </w:r>
      </w:hyperlink>
    </w:p>
    <w:p w14:paraId="2859E32A" w14:textId="1EC84B72" w:rsidR="000611B3" w:rsidRPr="00E96615" w:rsidRDefault="000611B3" w:rsidP="00E96615">
      <w:pPr>
        <w:pStyle w:val="Paragraphedeliste"/>
      </w:pPr>
    </w:p>
    <w:p w14:paraId="52616186" w14:textId="48031444" w:rsidR="00E96615" w:rsidRPr="00E96615" w:rsidRDefault="00E96615" w:rsidP="00E96615">
      <w:pPr>
        <w:pStyle w:val="Paragraphedeliste"/>
        <w:numPr>
          <w:ilvl w:val="0"/>
          <w:numId w:val="17"/>
        </w:numPr>
      </w:pPr>
      <w:bookmarkStart w:id="1" w:name="_ju78m5n2t39a" w:colFirst="0" w:colLast="0"/>
      <w:bookmarkEnd w:id="1"/>
      <w:r w:rsidRPr="00E96615">
        <w:rPr>
          <w:rFonts w:cs="Arial"/>
          <w:color w:val="000000"/>
        </w:rPr>
        <w:t>La mise en forme finale selon les normes fournies conditionnera l’acceptation définitive de l’article. L’évaluation des articles complets sera faite en double aveugle par le comité de lecture de la liste des membres du comité de lecture est accessible à l’adresse suivante :</w:t>
      </w:r>
    </w:p>
    <w:p w14:paraId="7CE7261F" w14:textId="2DABE19E" w:rsidR="00E96615" w:rsidRPr="00E96615" w:rsidRDefault="003E0519" w:rsidP="00E96615">
      <w:pPr>
        <w:ind w:firstLine="720"/>
      </w:pPr>
      <w:hyperlink r:id="rId11" w:anchor="tocto1n2" w:history="1">
        <w:r w:rsidR="00E96615" w:rsidRPr="00E80BD0">
          <w:rPr>
            <w:rStyle w:val="Lienhypertexte"/>
            <w:rFonts w:cs="Arial"/>
          </w:rPr>
          <w:t>https://journals.openedition.org/communicationorganisation/5905#tocto1n2</w:t>
        </w:r>
      </w:hyperlink>
    </w:p>
    <w:p w14:paraId="4AAE684D" w14:textId="18A92EA1" w:rsidR="00E96615" w:rsidRPr="00E96615" w:rsidRDefault="00E96615" w:rsidP="00E96615">
      <w:pPr>
        <w:pStyle w:val="Paragraphedeliste"/>
        <w:numPr>
          <w:ilvl w:val="0"/>
          <w:numId w:val="17"/>
        </w:numPr>
      </w:pPr>
      <w:r w:rsidRPr="00E96615">
        <w:rPr>
          <w:rFonts w:cs="Arial"/>
          <w:color w:val="000000"/>
        </w:rPr>
        <w:t>Les propositions seront déposées sur le site de gestion éditoriale de la revue :</w:t>
      </w:r>
    </w:p>
    <w:p w14:paraId="09143C48" w14:textId="77777777" w:rsidR="00E96615" w:rsidRDefault="003E0519" w:rsidP="00E96615">
      <w:pPr>
        <w:spacing w:before="0" w:after="0"/>
        <w:ind w:firstLine="720"/>
        <w:jc w:val="left"/>
        <w:rPr>
          <w:rFonts w:cs="Arial"/>
          <w:color w:val="1155CC"/>
          <w:u w:val="single"/>
        </w:rPr>
      </w:pPr>
      <w:hyperlink r:id="rId12" w:history="1">
        <w:r w:rsidR="00E96615" w:rsidRPr="00E96615">
          <w:rPr>
            <w:rFonts w:cs="Arial"/>
            <w:color w:val="1155CC"/>
            <w:u w:val="single"/>
          </w:rPr>
          <w:t>https://revues.u-bordeaux-montaigne.fr/cometorg/about/submissions</w:t>
        </w:r>
      </w:hyperlink>
    </w:p>
    <w:p w14:paraId="44DD985A" w14:textId="77777777" w:rsidR="00E96615" w:rsidRDefault="00E96615" w:rsidP="00E96615">
      <w:pPr>
        <w:spacing w:before="0" w:after="0"/>
        <w:ind w:firstLine="720"/>
        <w:jc w:val="left"/>
        <w:rPr>
          <w:rFonts w:cs="Arial"/>
          <w:color w:val="1155CC"/>
          <w:u w:val="single"/>
        </w:rPr>
      </w:pPr>
    </w:p>
    <w:p w14:paraId="6DE4C3DF" w14:textId="77777777" w:rsidR="00E96615" w:rsidRDefault="00E96615" w:rsidP="00E96615">
      <w:pPr>
        <w:spacing w:before="0" w:after="0"/>
        <w:ind w:firstLine="720"/>
        <w:jc w:val="left"/>
        <w:rPr>
          <w:rFonts w:cs="Arial"/>
          <w:color w:val="1155CC"/>
          <w:u w:val="single"/>
        </w:rPr>
      </w:pPr>
    </w:p>
    <w:p w14:paraId="082E8C51" w14:textId="77777777" w:rsidR="00E96615" w:rsidRDefault="00E96615" w:rsidP="00E96615">
      <w:pPr>
        <w:spacing w:before="0" w:after="0"/>
        <w:ind w:firstLine="720"/>
        <w:jc w:val="left"/>
        <w:rPr>
          <w:rFonts w:cs="Arial"/>
          <w:color w:val="1155CC"/>
          <w:u w:val="single"/>
        </w:rPr>
      </w:pPr>
    </w:p>
    <w:p w14:paraId="76D6E3C6" w14:textId="77777777" w:rsidR="00E96615" w:rsidRDefault="00E96615" w:rsidP="00E96615">
      <w:pPr>
        <w:rPr>
          <w:rFonts w:eastAsia="Calibri"/>
          <w:sz w:val="46"/>
          <w:szCs w:val="46"/>
        </w:rPr>
      </w:pPr>
      <w:r>
        <w:rPr>
          <w:rFonts w:eastAsia="Calibri"/>
          <w:sz w:val="46"/>
          <w:szCs w:val="46"/>
        </w:rPr>
        <w:t>À propos des coordinateurs du numéro</w:t>
      </w:r>
    </w:p>
    <w:p w14:paraId="62B88461" w14:textId="77777777" w:rsidR="00E96615" w:rsidRPr="00E96615" w:rsidRDefault="00E96615" w:rsidP="00E96615">
      <w:pPr>
        <w:spacing w:after="0"/>
      </w:pPr>
      <w:r w:rsidRPr="00E96615">
        <w:rPr>
          <w:rFonts w:cs="Arial"/>
          <w:b/>
          <w:bCs/>
          <w:color w:val="000000"/>
        </w:rPr>
        <w:t xml:space="preserve">Ali Ahmadi </w:t>
      </w:r>
      <w:r w:rsidRPr="00E96615">
        <w:rPr>
          <w:rFonts w:cs="Arial"/>
          <w:color w:val="000000"/>
        </w:rPr>
        <w:t xml:space="preserve">est Maître de conférences à l’Université Bordeaux Montaigne. Ses recherches se concentrent sur les plateformes numériques et les réseaux sociaux, avec une attention particulière aux dynamiques de désinformation et aux pratiques de </w:t>
      </w:r>
      <w:proofErr w:type="spellStart"/>
      <w:r w:rsidRPr="00E96615">
        <w:rPr>
          <w:rFonts w:cs="Arial"/>
          <w:color w:val="000000"/>
        </w:rPr>
        <w:t>fact</w:t>
      </w:r>
      <w:proofErr w:type="spellEnd"/>
      <w:r w:rsidRPr="00E96615">
        <w:rPr>
          <w:rFonts w:cs="Arial"/>
          <w:color w:val="000000"/>
        </w:rPr>
        <w:t>-checking. Il s’intéresse à leurs effets sur les pratiques médiatiques, sur les stratégies de communication des organisations et, plus largement, sur la reconfiguration de l’espace public.</w:t>
      </w:r>
    </w:p>
    <w:p w14:paraId="5BBB6576" w14:textId="77777777" w:rsidR="00E96615" w:rsidRPr="00E96615" w:rsidRDefault="00E96615" w:rsidP="00E96615">
      <w:pPr>
        <w:spacing w:after="0"/>
      </w:pPr>
      <w:r w:rsidRPr="00E96615">
        <w:rPr>
          <w:rFonts w:cs="Arial"/>
          <w:b/>
          <w:bCs/>
          <w:color w:val="000000"/>
        </w:rPr>
        <w:t xml:space="preserve">Claire d’Hennezel </w:t>
      </w:r>
      <w:r w:rsidRPr="00E96615">
        <w:rPr>
          <w:rFonts w:cs="Arial"/>
          <w:color w:val="000000"/>
        </w:rPr>
        <w:t>est Maître de conférences en SIC à l’IUT Bordeaux Montaigne. Ses recherches portent sur l’intelligence économique en général et plus particulièrement sur les réseaux d’acteurs, d’individus, d'organisations sous un angle stratégique et avec une approche communicationnelle. Ses dernières publications s'intéressent en particulier aux réseaux de femmes entrepreneures.</w:t>
      </w:r>
    </w:p>
    <w:p w14:paraId="3F30531B" w14:textId="77777777" w:rsidR="00E96615" w:rsidRPr="00E96615" w:rsidRDefault="00E96615" w:rsidP="00E96615">
      <w:pPr>
        <w:spacing w:after="0"/>
        <w:rPr>
          <w:rFonts w:cs="Arial"/>
          <w:color w:val="000000"/>
        </w:rPr>
      </w:pPr>
      <w:proofErr w:type="spellStart"/>
      <w:r w:rsidRPr="00E96615">
        <w:rPr>
          <w:rFonts w:cs="Arial"/>
          <w:b/>
          <w:bCs/>
          <w:color w:val="000000"/>
        </w:rPr>
        <w:t>Jindrich</w:t>
      </w:r>
      <w:proofErr w:type="spellEnd"/>
      <w:r w:rsidRPr="00E96615">
        <w:rPr>
          <w:rFonts w:cs="Arial"/>
          <w:b/>
          <w:bCs/>
          <w:color w:val="000000"/>
        </w:rPr>
        <w:t xml:space="preserve"> </w:t>
      </w:r>
      <w:proofErr w:type="spellStart"/>
      <w:r w:rsidRPr="00E96615">
        <w:rPr>
          <w:rFonts w:cs="Arial"/>
          <w:b/>
          <w:bCs/>
          <w:color w:val="000000"/>
        </w:rPr>
        <w:t>Oukropec</w:t>
      </w:r>
      <w:proofErr w:type="spellEnd"/>
      <w:r w:rsidRPr="00E96615">
        <w:rPr>
          <w:rFonts w:cs="Arial"/>
          <w:color w:val="000000"/>
        </w:rPr>
        <w:t xml:space="preserve"> est docteur en sciences de la communication et enseignant-chercheur à l’Université Charles de Prague. Ses travaux s’inscrivent dans le champ de la communication stratégique et visent à approfondir, par une approche empirique, la théorie de la </w:t>
      </w:r>
      <w:proofErr w:type="spellStart"/>
      <w:r w:rsidRPr="00E96615">
        <w:rPr>
          <w:rFonts w:cs="Arial"/>
          <w:color w:val="000000"/>
        </w:rPr>
        <w:t>paracrise</w:t>
      </w:r>
      <w:proofErr w:type="spellEnd"/>
      <w:r w:rsidRPr="00E96615">
        <w:rPr>
          <w:rFonts w:cs="Arial"/>
          <w:color w:val="000000"/>
        </w:rPr>
        <w:t>. Auteur de plusieurs publications en anglais dans des revues scientifiques internationales, il bénéficie également d’une expérience professionnelle de plus de dix ans dans le domaine de la communication, tant en pratique qu’en contexte organisationnel.</w:t>
      </w:r>
    </w:p>
    <w:p w14:paraId="3BF11A96" w14:textId="77777777" w:rsidR="00E96615" w:rsidRDefault="00E96615" w:rsidP="00E96615">
      <w:pPr>
        <w:spacing w:after="0"/>
        <w:rPr>
          <w:rFonts w:ascii="Arial" w:hAnsi="Arial" w:cs="Arial"/>
          <w:color w:val="000000"/>
        </w:rPr>
      </w:pPr>
    </w:p>
    <w:p w14:paraId="2B95B5EC" w14:textId="77777777" w:rsidR="00E96615" w:rsidRDefault="00E96615" w:rsidP="00E96615">
      <w:pPr>
        <w:spacing w:after="0"/>
        <w:rPr>
          <w:rFonts w:ascii="Arial" w:hAnsi="Arial" w:cs="Arial"/>
          <w:color w:val="000000"/>
        </w:rPr>
      </w:pPr>
    </w:p>
    <w:p w14:paraId="2970F8E0" w14:textId="77777777" w:rsidR="00E96615" w:rsidRPr="00B62853" w:rsidRDefault="00E96615" w:rsidP="00E96615">
      <w:pPr>
        <w:spacing w:after="0"/>
        <w:rPr>
          <w:rFonts w:ascii="Times New Roman" w:hAnsi="Times New Roman"/>
        </w:rPr>
      </w:pPr>
    </w:p>
    <w:p w14:paraId="0BF0FBCA" w14:textId="7C3B40B6" w:rsidR="007506DA" w:rsidRDefault="007506DA" w:rsidP="00E96615">
      <w:pPr>
        <w:spacing w:before="0" w:after="0"/>
        <w:ind w:firstLine="720"/>
        <w:jc w:val="left"/>
        <w:rPr>
          <w:rFonts w:eastAsia="Calibri"/>
          <w:sz w:val="46"/>
          <w:szCs w:val="46"/>
        </w:rPr>
      </w:pPr>
      <w:r>
        <w:rPr>
          <w:rFonts w:eastAsia="Calibri"/>
          <w:sz w:val="46"/>
          <w:szCs w:val="46"/>
        </w:rPr>
        <w:br w:type="page"/>
      </w:r>
    </w:p>
    <w:p w14:paraId="5BED1DCD" w14:textId="02E86B94" w:rsidR="000611B3" w:rsidRDefault="000611B3" w:rsidP="00F23F70">
      <w:pPr>
        <w:rPr>
          <w:rFonts w:eastAsia="Calibri"/>
          <w:sz w:val="46"/>
          <w:szCs w:val="46"/>
        </w:rPr>
      </w:pPr>
    </w:p>
    <w:p w14:paraId="74552D86" w14:textId="77777777" w:rsidR="000611B3" w:rsidRDefault="000611B3" w:rsidP="00F23F70">
      <w:pPr>
        <w:rPr>
          <w:rFonts w:eastAsia="Calibri"/>
        </w:rPr>
      </w:pPr>
    </w:p>
    <w:p w14:paraId="02C06A4A" w14:textId="77777777" w:rsidR="000611B3" w:rsidRDefault="00170F0C" w:rsidP="00F23F70">
      <w:pPr>
        <w:rPr>
          <w:rFonts w:eastAsia="Calibri"/>
          <w:b/>
        </w:rPr>
      </w:pPr>
      <w:bookmarkStart w:id="2" w:name="_gjdgxs" w:colFirst="0" w:colLast="0"/>
      <w:bookmarkEnd w:id="2"/>
      <w:r>
        <w:rPr>
          <w:rFonts w:eastAsia="Calibri"/>
          <w:b/>
        </w:rPr>
        <w:t xml:space="preserve">Bibliographie </w:t>
      </w:r>
    </w:p>
    <w:p w14:paraId="6A65E815" w14:textId="77777777" w:rsidR="00F309FB" w:rsidRPr="00F309FB" w:rsidRDefault="00F309FB" w:rsidP="00F309FB">
      <w:pPr>
        <w:spacing w:after="0"/>
        <w:ind w:left="709" w:right="560" w:hanging="567"/>
      </w:pPr>
      <w:r w:rsidRPr="00F309FB">
        <w:rPr>
          <w:rFonts w:cs="Arial"/>
          <w:color w:val="000000"/>
        </w:rPr>
        <w:t>Ahmadi, A., &amp; Soulages, J.-C. (2025, novembre). Les fake news comme brèche spatio-temporelle dans l’actualité événementielle. Hermès, La Revue, (96).</w:t>
      </w:r>
    </w:p>
    <w:p w14:paraId="62854B23" w14:textId="77777777" w:rsidR="00F309FB" w:rsidRPr="00F309FB" w:rsidRDefault="00F309FB" w:rsidP="00F309FB">
      <w:pPr>
        <w:ind w:left="721" w:hanging="555"/>
      </w:pPr>
      <w:proofErr w:type="spellStart"/>
      <w:r w:rsidRPr="00F309FB">
        <w:rPr>
          <w:rFonts w:cs="Arial"/>
          <w:color w:val="000000"/>
        </w:rPr>
        <w:t>Alloing</w:t>
      </w:r>
      <w:proofErr w:type="spellEnd"/>
      <w:r w:rsidRPr="00F309FB">
        <w:rPr>
          <w:rFonts w:cs="Arial"/>
          <w:color w:val="000000"/>
        </w:rPr>
        <w:t xml:space="preserve">, C., Cordelier, </w:t>
      </w:r>
      <w:proofErr w:type="spellStart"/>
      <w:r w:rsidRPr="00F309FB">
        <w:rPr>
          <w:rFonts w:cs="Arial"/>
          <w:color w:val="000000"/>
        </w:rPr>
        <w:t>B.,Yates</w:t>
      </w:r>
      <w:proofErr w:type="spellEnd"/>
      <w:r w:rsidRPr="00F309FB">
        <w:rPr>
          <w:rFonts w:cs="Arial"/>
          <w:color w:val="000000"/>
        </w:rPr>
        <w:t xml:space="preserve">, S. (2021). Pour une approche communicationnelle de l’influence. </w:t>
      </w:r>
      <w:r w:rsidRPr="00F309FB">
        <w:rPr>
          <w:rFonts w:cs="Arial"/>
          <w:i/>
          <w:iCs/>
          <w:color w:val="000000"/>
        </w:rPr>
        <w:t>Communication et organisation. Revue scientifique francophone en Communication organisationnelle, 60</w:t>
      </w:r>
      <w:r w:rsidRPr="00F309FB">
        <w:rPr>
          <w:rFonts w:cs="Arial"/>
          <w:color w:val="000000"/>
        </w:rPr>
        <w:t>, Article 60.</w:t>
      </w:r>
    </w:p>
    <w:p w14:paraId="2EA071EE" w14:textId="77777777" w:rsidR="00F309FB" w:rsidRPr="00F309FB" w:rsidRDefault="00F309FB" w:rsidP="00F309FB">
      <w:pPr>
        <w:ind w:left="721" w:hanging="555"/>
        <w:rPr>
          <w:rFonts w:cs="Arial"/>
          <w:color w:val="000000"/>
        </w:rPr>
      </w:pPr>
      <w:r w:rsidRPr="00F309FB">
        <w:rPr>
          <w:rFonts w:cs="Arial"/>
          <w:color w:val="000000"/>
        </w:rPr>
        <w:t xml:space="preserve">Baker, A. C., </w:t>
      </w:r>
      <w:proofErr w:type="spellStart"/>
      <w:r w:rsidRPr="00F309FB">
        <w:rPr>
          <w:rFonts w:cs="Arial"/>
          <w:color w:val="000000"/>
        </w:rPr>
        <w:t>Larcker</w:t>
      </w:r>
      <w:proofErr w:type="spellEnd"/>
      <w:r w:rsidRPr="00F309FB">
        <w:rPr>
          <w:rFonts w:cs="Arial"/>
          <w:color w:val="000000"/>
        </w:rPr>
        <w:t xml:space="preserve">, D. F., McClure, C. G., </w:t>
      </w:r>
      <w:proofErr w:type="spellStart"/>
      <w:r w:rsidRPr="00F309FB">
        <w:rPr>
          <w:rFonts w:cs="Arial"/>
          <w:color w:val="000000"/>
        </w:rPr>
        <w:t>Saraph</w:t>
      </w:r>
      <w:proofErr w:type="spellEnd"/>
      <w:r w:rsidRPr="00F309FB">
        <w:rPr>
          <w:rFonts w:cs="Arial"/>
          <w:color w:val="000000"/>
        </w:rPr>
        <w:t xml:space="preserve">, D., &amp; Watts, E. M. (2024). Diversity </w:t>
      </w:r>
      <w:proofErr w:type="spellStart"/>
      <w:r w:rsidRPr="00F309FB">
        <w:rPr>
          <w:rFonts w:cs="Arial"/>
          <w:color w:val="000000"/>
        </w:rPr>
        <w:t>washing</w:t>
      </w:r>
      <w:proofErr w:type="spellEnd"/>
      <w:r w:rsidRPr="00F309FB">
        <w:rPr>
          <w:rFonts w:cs="Arial"/>
          <w:color w:val="000000"/>
        </w:rPr>
        <w:t xml:space="preserve">. Journal of </w:t>
      </w:r>
      <w:proofErr w:type="spellStart"/>
      <w:r w:rsidRPr="00F309FB">
        <w:rPr>
          <w:rFonts w:cs="Arial"/>
          <w:color w:val="000000"/>
        </w:rPr>
        <w:t>Accounting</w:t>
      </w:r>
      <w:proofErr w:type="spellEnd"/>
      <w:r w:rsidRPr="00F309FB">
        <w:rPr>
          <w:rFonts w:cs="Arial"/>
          <w:color w:val="000000"/>
        </w:rPr>
        <w:t xml:space="preserve"> </w:t>
      </w:r>
      <w:proofErr w:type="spellStart"/>
      <w:r w:rsidRPr="00F309FB">
        <w:rPr>
          <w:rFonts w:cs="Arial"/>
          <w:color w:val="000000"/>
        </w:rPr>
        <w:t>Research</w:t>
      </w:r>
      <w:proofErr w:type="spellEnd"/>
      <w:r w:rsidRPr="00F309FB">
        <w:rPr>
          <w:rFonts w:cs="Arial"/>
          <w:color w:val="000000"/>
        </w:rPr>
        <w:t>, 62(5), 1661-1709.</w:t>
      </w:r>
    </w:p>
    <w:p w14:paraId="5C3F86BC" w14:textId="77777777" w:rsidR="00F309FB" w:rsidRPr="00F309FB" w:rsidRDefault="00F309FB" w:rsidP="00F309FB">
      <w:pPr>
        <w:ind w:left="721" w:hanging="555"/>
        <w:rPr>
          <w:rFonts w:cs="Arial"/>
          <w:color w:val="000000"/>
        </w:rPr>
      </w:pPr>
      <w:r w:rsidRPr="00F309FB">
        <w:rPr>
          <w:rFonts w:cs="Arial"/>
          <w:color w:val="000000"/>
        </w:rPr>
        <w:t xml:space="preserve">Baum L (2012) </w:t>
      </w:r>
      <w:proofErr w:type="spellStart"/>
      <w:r w:rsidRPr="00F309FB">
        <w:rPr>
          <w:rFonts w:cs="Arial"/>
          <w:color w:val="000000"/>
        </w:rPr>
        <w:t>It’s</w:t>
      </w:r>
      <w:proofErr w:type="spellEnd"/>
      <w:r w:rsidRPr="00F309FB">
        <w:rPr>
          <w:rFonts w:cs="Arial"/>
          <w:color w:val="000000"/>
        </w:rPr>
        <w:t xml:space="preserve"> Not </w:t>
      </w:r>
      <w:proofErr w:type="spellStart"/>
      <w:r w:rsidRPr="00F309FB">
        <w:rPr>
          <w:rFonts w:cs="Arial"/>
          <w:color w:val="000000"/>
        </w:rPr>
        <w:t>Easy</w:t>
      </w:r>
      <w:proofErr w:type="spellEnd"/>
      <w:r w:rsidRPr="00F309FB">
        <w:rPr>
          <w:rFonts w:cs="Arial"/>
          <w:color w:val="000000"/>
        </w:rPr>
        <w:t xml:space="preserve"> </w:t>
      </w:r>
      <w:proofErr w:type="spellStart"/>
      <w:r w:rsidRPr="00F309FB">
        <w:rPr>
          <w:rFonts w:cs="Arial"/>
          <w:color w:val="000000"/>
        </w:rPr>
        <w:t>Being</w:t>
      </w:r>
      <w:proofErr w:type="spellEnd"/>
      <w:r w:rsidRPr="00F309FB">
        <w:rPr>
          <w:rFonts w:cs="Arial"/>
          <w:color w:val="000000"/>
        </w:rPr>
        <w:t xml:space="preserve"> Green … Or Is It? A content </w:t>
      </w:r>
      <w:proofErr w:type="spellStart"/>
      <w:r w:rsidRPr="00F309FB">
        <w:rPr>
          <w:rFonts w:cs="Arial"/>
          <w:color w:val="000000"/>
        </w:rPr>
        <w:t>analysis</w:t>
      </w:r>
      <w:proofErr w:type="spellEnd"/>
      <w:r w:rsidRPr="00F309FB">
        <w:rPr>
          <w:rFonts w:cs="Arial"/>
          <w:color w:val="000000"/>
        </w:rPr>
        <w:t xml:space="preserve"> of </w:t>
      </w:r>
      <w:proofErr w:type="spellStart"/>
      <w:r w:rsidRPr="00F309FB">
        <w:rPr>
          <w:rFonts w:cs="Arial"/>
          <w:color w:val="000000"/>
        </w:rPr>
        <w:t>environmental</w:t>
      </w:r>
      <w:proofErr w:type="spellEnd"/>
      <w:r w:rsidRPr="00F309FB">
        <w:rPr>
          <w:rFonts w:cs="Arial"/>
          <w:color w:val="000000"/>
        </w:rPr>
        <w:t xml:space="preserve"> claims in magazine </w:t>
      </w:r>
      <w:proofErr w:type="spellStart"/>
      <w:r w:rsidRPr="00F309FB">
        <w:rPr>
          <w:rFonts w:cs="Arial"/>
          <w:color w:val="000000"/>
        </w:rPr>
        <w:t>advertisements</w:t>
      </w:r>
      <w:proofErr w:type="spellEnd"/>
      <w:r w:rsidRPr="00F309FB">
        <w:rPr>
          <w:rFonts w:cs="Arial"/>
          <w:color w:val="000000"/>
        </w:rPr>
        <w:t xml:space="preserve"> </w:t>
      </w:r>
      <w:proofErr w:type="spellStart"/>
      <w:r w:rsidRPr="00F309FB">
        <w:rPr>
          <w:rFonts w:cs="Arial"/>
          <w:color w:val="000000"/>
        </w:rPr>
        <w:t>from</w:t>
      </w:r>
      <w:proofErr w:type="spellEnd"/>
      <w:r w:rsidRPr="00F309FB">
        <w:rPr>
          <w:rFonts w:cs="Arial"/>
          <w:color w:val="000000"/>
        </w:rPr>
        <w:t xml:space="preserve"> the United States and United </w:t>
      </w:r>
      <w:proofErr w:type="spellStart"/>
      <w:r w:rsidRPr="00F309FB">
        <w:rPr>
          <w:rFonts w:cs="Arial"/>
          <w:color w:val="000000"/>
        </w:rPr>
        <w:t>Kingdom</w:t>
      </w:r>
      <w:proofErr w:type="spellEnd"/>
      <w:r w:rsidRPr="00F309FB">
        <w:rPr>
          <w:rFonts w:cs="Arial"/>
          <w:color w:val="000000"/>
        </w:rPr>
        <w:t>. Environ Commun 6(4):423–440.</w:t>
      </w:r>
    </w:p>
    <w:p w14:paraId="0C20BAE2" w14:textId="77777777" w:rsidR="00F309FB" w:rsidRPr="00F309FB" w:rsidRDefault="00F309FB" w:rsidP="00F309FB">
      <w:pPr>
        <w:ind w:left="721" w:hanging="555"/>
        <w:rPr>
          <w:rFonts w:cs="Arial"/>
          <w:color w:val="000000"/>
          <w:shd w:val="clear" w:color="auto" w:fill="FFFFFF"/>
        </w:rPr>
      </w:pPr>
      <w:r w:rsidRPr="00F309FB">
        <w:rPr>
          <w:rFonts w:cs="Arial"/>
          <w:color w:val="000000"/>
          <w:shd w:val="clear" w:color="auto" w:fill="FFFFFF"/>
        </w:rPr>
        <w:t>Bigot, L. (2019). Fact checking vs fake news : Vérifier pour mieux informer. Institut National de l'Audiovisuel (INA).</w:t>
      </w:r>
    </w:p>
    <w:p w14:paraId="5EAE28BF" w14:textId="77777777" w:rsidR="00F309FB" w:rsidRPr="00F309FB" w:rsidRDefault="00F309FB" w:rsidP="00F309FB">
      <w:pPr>
        <w:ind w:left="721" w:hanging="555"/>
        <w:rPr>
          <w:rFonts w:cs="Arial"/>
          <w:color w:val="000000"/>
        </w:rPr>
      </w:pPr>
      <w:proofErr w:type="spellStart"/>
      <w:r w:rsidRPr="00F309FB">
        <w:rPr>
          <w:rFonts w:cs="Arial"/>
          <w:color w:val="000000"/>
        </w:rPr>
        <w:t>Boistel</w:t>
      </w:r>
      <w:proofErr w:type="spellEnd"/>
      <w:r w:rsidRPr="00F309FB">
        <w:rPr>
          <w:rFonts w:cs="Arial"/>
          <w:color w:val="000000"/>
        </w:rPr>
        <w:t xml:space="preserve">, P. (2014). Réputation : un concept à définir. </w:t>
      </w:r>
      <w:r w:rsidRPr="00F309FB">
        <w:rPr>
          <w:rFonts w:cs="Arial"/>
          <w:i/>
          <w:iCs/>
          <w:color w:val="000000"/>
        </w:rPr>
        <w:t>Communication &amp; Organisation</w:t>
      </w:r>
      <w:r w:rsidRPr="00F309FB">
        <w:rPr>
          <w:rFonts w:cs="Arial"/>
          <w:color w:val="000000"/>
        </w:rPr>
        <w:t>, 2(46), 211-224. </w:t>
      </w:r>
    </w:p>
    <w:p w14:paraId="5A5E0D83" w14:textId="77777777" w:rsidR="00F309FB" w:rsidRPr="00F309FB" w:rsidRDefault="00F309FB" w:rsidP="00F309FB">
      <w:pPr>
        <w:ind w:left="721" w:hanging="555"/>
        <w:rPr>
          <w:rFonts w:cs="Arial"/>
          <w:color w:val="000000"/>
        </w:rPr>
      </w:pPr>
      <w:proofErr w:type="spellStart"/>
      <w:r w:rsidRPr="00F309FB">
        <w:rPr>
          <w:rFonts w:cs="Arial"/>
          <w:color w:val="000000"/>
        </w:rPr>
        <w:t>Bulinge</w:t>
      </w:r>
      <w:proofErr w:type="spellEnd"/>
      <w:r w:rsidRPr="00F309FB">
        <w:rPr>
          <w:rFonts w:cs="Arial"/>
          <w:color w:val="000000"/>
        </w:rPr>
        <w:t>, F. (2022). Maîtriser l'information stratégique. Paris: De Boeck Supérieur.</w:t>
      </w:r>
    </w:p>
    <w:p w14:paraId="65394A88" w14:textId="77777777" w:rsidR="00F309FB" w:rsidRPr="00F309FB" w:rsidRDefault="00F309FB" w:rsidP="00F309FB">
      <w:pPr>
        <w:ind w:left="721" w:hanging="555"/>
        <w:rPr>
          <w:rFonts w:cs="Arial"/>
          <w:color w:val="000000"/>
        </w:rPr>
      </w:pPr>
      <w:proofErr w:type="spellStart"/>
      <w:r w:rsidRPr="00F309FB">
        <w:rPr>
          <w:rFonts w:cs="Arial"/>
          <w:color w:val="000000"/>
        </w:rPr>
        <w:t>Bulinge</w:t>
      </w:r>
      <w:proofErr w:type="spellEnd"/>
      <w:r w:rsidRPr="00F309FB">
        <w:rPr>
          <w:rFonts w:cs="Arial"/>
          <w:color w:val="000000"/>
        </w:rPr>
        <w:t>, F., &amp; Boutin, E. (2015). Le renseignement comme objet de recherche en SHS ; Le rôle central des SIC. Communication &amp; Organisation, 1(47), 179-195.</w:t>
      </w:r>
    </w:p>
    <w:p w14:paraId="61ED2B7B" w14:textId="77777777" w:rsidR="00F309FB" w:rsidRPr="00F309FB" w:rsidRDefault="00F309FB" w:rsidP="00F309FB">
      <w:pPr>
        <w:ind w:left="721" w:hanging="555"/>
        <w:rPr>
          <w:rFonts w:cs="Arial"/>
          <w:color w:val="000000"/>
        </w:rPr>
      </w:pPr>
      <w:proofErr w:type="spellStart"/>
      <w:r w:rsidRPr="00F309FB">
        <w:rPr>
          <w:rFonts w:cs="Arial"/>
          <w:color w:val="000000"/>
        </w:rPr>
        <w:t>Bulinge</w:t>
      </w:r>
      <w:proofErr w:type="spellEnd"/>
      <w:r w:rsidRPr="00F309FB">
        <w:rPr>
          <w:rFonts w:cs="Arial"/>
          <w:color w:val="000000"/>
        </w:rPr>
        <w:t xml:space="preserve">, F., &amp; </w:t>
      </w:r>
      <w:proofErr w:type="spellStart"/>
      <w:r w:rsidRPr="00F309FB">
        <w:rPr>
          <w:rFonts w:cs="Arial"/>
          <w:color w:val="000000"/>
        </w:rPr>
        <w:t>Moinet</w:t>
      </w:r>
      <w:proofErr w:type="spellEnd"/>
      <w:r w:rsidRPr="00F309FB">
        <w:rPr>
          <w:rFonts w:cs="Arial"/>
          <w:color w:val="000000"/>
        </w:rPr>
        <w:t>, N. (2013). L'intelligence économique : un concept, quatre courants. Sécurité et stratégie, 56-64. </w:t>
      </w:r>
    </w:p>
    <w:p w14:paraId="62A9F2FC" w14:textId="77777777" w:rsidR="00F309FB" w:rsidRPr="00F309FB" w:rsidRDefault="00F309FB" w:rsidP="00F309FB">
      <w:pPr>
        <w:ind w:left="721" w:hanging="555"/>
        <w:rPr>
          <w:rFonts w:cs="Arial"/>
          <w:color w:val="000000"/>
        </w:rPr>
      </w:pPr>
      <w:proofErr w:type="spellStart"/>
      <w:r w:rsidRPr="00F309FB">
        <w:rPr>
          <w:rFonts w:cs="Arial"/>
          <w:color w:val="000000"/>
        </w:rPr>
        <w:t>Catellani</w:t>
      </w:r>
      <w:proofErr w:type="spellEnd"/>
      <w:r w:rsidRPr="00F309FB">
        <w:rPr>
          <w:rFonts w:cs="Arial"/>
          <w:color w:val="000000"/>
        </w:rPr>
        <w:t xml:space="preserve">, A. (2015). Figures et paroles de la responsabilité dans la communication </w:t>
      </w:r>
      <w:proofErr w:type="spellStart"/>
      <w:r w:rsidRPr="00F309FB">
        <w:rPr>
          <w:rFonts w:cs="Arial"/>
          <w:color w:val="000000"/>
        </w:rPr>
        <w:t>corporate</w:t>
      </w:r>
      <w:proofErr w:type="spellEnd"/>
      <w:r w:rsidRPr="00F309FB">
        <w:rPr>
          <w:rFonts w:cs="Arial"/>
          <w:color w:val="000000"/>
        </w:rPr>
        <w:t xml:space="preserve"> : la dimension visuelle des rapports d’entreprise Communication &amp; Organisation, 47(1), 97-113. </w:t>
      </w:r>
    </w:p>
    <w:p w14:paraId="2CDB9D91" w14:textId="77777777" w:rsidR="00F309FB" w:rsidRPr="00F309FB" w:rsidRDefault="00F309FB" w:rsidP="00F309FB">
      <w:pPr>
        <w:ind w:left="721" w:hanging="555"/>
        <w:rPr>
          <w:rFonts w:cs="Arial"/>
          <w:color w:val="000000"/>
        </w:rPr>
      </w:pPr>
      <w:r w:rsidRPr="00F309FB">
        <w:rPr>
          <w:rFonts w:cs="Arial"/>
          <w:color w:val="000000"/>
        </w:rPr>
        <w:t xml:space="preserve">Chen, F. (2019). </w:t>
      </w:r>
      <w:proofErr w:type="spellStart"/>
      <w:r w:rsidRPr="00F309FB">
        <w:rPr>
          <w:rFonts w:cs="Arial"/>
          <w:color w:val="000000"/>
        </w:rPr>
        <w:t>Understanding</w:t>
      </w:r>
      <w:proofErr w:type="spellEnd"/>
      <w:r w:rsidRPr="00F309FB">
        <w:rPr>
          <w:rFonts w:cs="Arial"/>
          <w:color w:val="000000"/>
        </w:rPr>
        <w:t xml:space="preserve"> </w:t>
      </w:r>
      <w:proofErr w:type="spellStart"/>
      <w:r w:rsidRPr="00F309FB">
        <w:rPr>
          <w:rFonts w:cs="Arial"/>
          <w:color w:val="000000"/>
        </w:rPr>
        <w:t>paracrisis</w:t>
      </w:r>
      <w:proofErr w:type="spellEnd"/>
      <w:r w:rsidRPr="00F309FB">
        <w:rPr>
          <w:rFonts w:cs="Arial"/>
          <w:color w:val="000000"/>
        </w:rPr>
        <w:t xml:space="preserve"> communication: </w:t>
      </w:r>
      <w:proofErr w:type="spellStart"/>
      <w:r w:rsidRPr="00F309FB">
        <w:rPr>
          <w:rFonts w:cs="Arial"/>
          <w:color w:val="000000"/>
        </w:rPr>
        <w:t>Towards</w:t>
      </w:r>
      <w:proofErr w:type="spellEnd"/>
      <w:r w:rsidRPr="00F309FB">
        <w:rPr>
          <w:rFonts w:cs="Arial"/>
          <w:color w:val="000000"/>
        </w:rPr>
        <w:t xml:space="preserve"> </w:t>
      </w:r>
      <w:proofErr w:type="spellStart"/>
      <w:r w:rsidRPr="00F309FB">
        <w:rPr>
          <w:rFonts w:cs="Arial"/>
          <w:color w:val="000000"/>
        </w:rPr>
        <w:t>developing</w:t>
      </w:r>
      <w:proofErr w:type="spellEnd"/>
      <w:r w:rsidRPr="00F309FB">
        <w:rPr>
          <w:rFonts w:cs="Arial"/>
          <w:color w:val="000000"/>
        </w:rPr>
        <w:t xml:space="preserve"> a </w:t>
      </w:r>
      <w:proofErr w:type="spellStart"/>
      <w:r w:rsidRPr="00F309FB">
        <w:rPr>
          <w:rFonts w:cs="Arial"/>
          <w:color w:val="000000"/>
        </w:rPr>
        <w:t>framework</w:t>
      </w:r>
      <w:proofErr w:type="spellEnd"/>
      <w:r w:rsidRPr="00F309FB">
        <w:rPr>
          <w:rFonts w:cs="Arial"/>
          <w:color w:val="000000"/>
        </w:rPr>
        <w:t xml:space="preserve"> of </w:t>
      </w:r>
      <w:proofErr w:type="spellStart"/>
      <w:r w:rsidRPr="00F309FB">
        <w:rPr>
          <w:rFonts w:cs="Arial"/>
          <w:color w:val="000000"/>
        </w:rPr>
        <w:t>paracrisis</w:t>
      </w:r>
      <w:proofErr w:type="spellEnd"/>
      <w:r w:rsidRPr="00F309FB">
        <w:rPr>
          <w:rFonts w:cs="Arial"/>
          <w:color w:val="000000"/>
        </w:rPr>
        <w:t xml:space="preserve"> </w:t>
      </w:r>
      <w:proofErr w:type="spellStart"/>
      <w:r w:rsidRPr="00F309FB">
        <w:rPr>
          <w:rFonts w:cs="Arial"/>
          <w:color w:val="000000"/>
        </w:rPr>
        <w:t>typology</w:t>
      </w:r>
      <w:proofErr w:type="spellEnd"/>
      <w:r w:rsidRPr="00F309FB">
        <w:rPr>
          <w:rFonts w:cs="Arial"/>
          <w:color w:val="000000"/>
        </w:rPr>
        <w:t xml:space="preserve"> and </w:t>
      </w:r>
      <w:proofErr w:type="spellStart"/>
      <w:r w:rsidRPr="00F309FB">
        <w:rPr>
          <w:rFonts w:cs="Arial"/>
          <w:color w:val="000000"/>
        </w:rPr>
        <w:t>organizational</w:t>
      </w:r>
      <w:proofErr w:type="spellEnd"/>
      <w:r w:rsidRPr="00F309FB">
        <w:rPr>
          <w:rFonts w:cs="Arial"/>
          <w:color w:val="000000"/>
        </w:rPr>
        <w:t xml:space="preserve"> </w:t>
      </w:r>
      <w:proofErr w:type="spellStart"/>
      <w:r w:rsidRPr="00F309FB">
        <w:rPr>
          <w:rFonts w:cs="Arial"/>
          <w:color w:val="000000"/>
        </w:rPr>
        <w:t>response</w:t>
      </w:r>
      <w:proofErr w:type="spellEnd"/>
      <w:r w:rsidRPr="00F309FB">
        <w:rPr>
          <w:rFonts w:cs="Arial"/>
          <w:color w:val="000000"/>
        </w:rPr>
        <w:t xml:space="preserve"> </w:t>
      </w:r>
      <w:proofErr w:type="spellStart"/>
      <w:r w:rsidRPr="00F309FB">
        <w:rPr>
          <w:rFonts w:cs="Arial"/>
          <w:color w:val="000000"/>
        </w:rPr>
        <w:t>strategies</w:t>
      </w:r>
      <w:proofErr w:type="spellEnd"/>
      <w:r w:rsidRPr="00F309FB">
        <w:rPr>
          <w:rFonts w:cs="Arial"/>
          <w:color w:val="000000"/>
        </w:rPr>
        <w:t xml:space="preserve"> (Doctoral dissertation, Texas A&amp;M </w:t>
      </w:r>
      <w:proofErr w:type="spellStart"/>
      <w:r w:rsidRPr="00F309FB">
        <w:rPr>
          <w:rFonts w:cs="Arial"/>
          <w:color w:val="000000"/>
        </w:rPr>
        <w:t>University</w:t>
      </w:r>
      <w:proofErr w:type="spellEnd"/>
      <w:r w:rsidRPr="00F309FB">
        <w:rPr>
          <w:rFonts w:cs="Arial"/>
          <w:color w:val="000000"/>
        </w:rPr>
        <w:t>).</w:t>
      </w:r>
    </w:p>
    <w:p w14:paraId="00388C5C" w14:textId="77777777" w:rsidR="00F309FB" w:rsidRPr="00F309FB" w:rsidRDefault="00F309FB" w:rsidP="00F309FB">
      <w:pPr>
        <w:ind w:left="721" w:hanging="555"/>
        <w:rPr>
          <w:rFonts w:cs="Arial"/>
          <w:color w:val="000000"/>
        </w:rPr>
      </w:pPr>
      <w:r w:rsidRPr="00F309FB">
        <w:rPr>
          <w:rFonts w:cs="Arial"/>
          <w:color w:val="000000"/>
        </w:rPr>
        <w:t xml:space="preserve">Chen, F., &amp; </w:t>
      </w:r>
      <w:proofErr w:type="spellStart"/>
      <w:r w:rsidRPr="00F309FB">
        <w:rPr>
          <w:rFonts w:cs="Arial"/>
          <w:color w:val="000000"/>
        </w:rPr>
        <w:t>Holladay</w:t>
      </w:r>
      <w:proofErr w:type="spellEnd"/>
      <w:r w:rsidRPr="00F309FB">
        <w:rPr>
          <w:rFonts w:cs="Arial"/>
          <w:color w:val="000000"/>
        </w:rPr>
        <w:t xml:space="preserve">, S. J. (2023). </w:t>
      </w:r>
      <w:proofErr w:type="spellStart"/>
      <w:r w:rsidRPr="00F309FB">
        <w:rPr>
          <w:rFonts w:cs="Arial"/>
          <w:color w:val="000000"/>
        </w:rPr>
        <w:t>Identifying</w:t>
      </w:r>
      <w:proofErr w:type="spellEnd"/>
      <w:r w:rsidRPr="00F309FB">
        <w:rPr>
          <w:rFonts w:cs="Arial"/>
          <w:color w:val="000000"/>
        </w:rPr>
        <w:t xml:space="preserve"> and </w:t>
      </w:r>
      <w:proofErr w:type="spellStart"/>
      <w:r w:rsidRPr="00F309FB">
        <w:rPr>
          <w:rFonts w:cs="Arial"/>
          <w:color w:val="000000"/>
        </w:rPr>
        <w:t>responding</w:t>
      </w:r>
      <w:proofErr w:type="spellEnd"/>
      <w:r w:rsidRPr="00F309FB">
        <w:rPr>
          <w:rFonts w:cs="Arial"/>
          <w:color w:val="000000"/>
        </w:rPr>
        <w:t xml:space="preserve"> to social media </w:t>
      </w:r>
      <w:proofErr w:type="spellStart"/>
      <w:r w:rsidRPr="00F309FB">
        <w:rPr>
          <w:rFonts w:cs="Arial"/>
          <w:color w:val="000000"/>
        </w:rPr>
        <w:t>risks</w:t>
      </w:r>
      <w:proofErr w:type="spellEnd"/>
      <w:r w:rsidRPr="00F309FB">
        <w:rPr>
          <w:rFonts w:cs="Arial"/>
          <w:color w:val="000000"/>
        </w:rPr>
        <w:t xml:space="preserve">: </w:t>
      </w:r>
      <w:proofErr w:type="spellStart"/>
      <w:r w:rsidRPr="00F309FB">
        <w:rPr>
          <w:rFonts w:cs="Arial"/>
          <w:color w:val="000000"/>
        </w:rPr>
        <w:t>towards</w:t>
      </w:r>
      <w:proofErr w:type="spellEnd"/>
      <w:r w:rsidRPr="00F309FB">
        <w:rPr>
          <w:rFonts w:cs="Arial"/>
          <w:color w:val="000000"/>
        </w:rPr>
        <w:t xml:space="preserve"> an </w:t>
      </w:r>
      <w:proofErr w:type="spellStart"/>
      <w:r w:rsidRPr="00F309FB">
        <w:rPr>
          <w:rFonts w:cs="Arial"/>
          <w:color w:val="000000"/>
        </w:rPr>
        <w:t>organizational</w:t>
      </w:r>
      <w:proofErr w:type="spellEnd"/>
      <w:r w:rsidRPr="00F309FB">
        <w:rPr>
          <w:rFonts w:cs="Arial"/>
          <w:color w:val="000000"/>
        </w:rPr>
        <w:t xml:space="preserve"> </w:t>
      </w:r>
      <w:proofErr w:type="spellStart"/>
      <w:r w:rsidRPr="00F309FB">
        <w:rPr>
          <w:rFonts w:cs="Arial"/>
          <w:color w:val="000000"/>
        </w:rPr>
        <w:t>paracrisis</w:t>
      </w:r>
      <w:proofErr w:type="spellEnd"/>
      <w:r w:rsidRPr="00F309FB">
        <w:rPr>
          <w:rFonts w:cs="Arial"/>
          <w:color w:val="000000"/>
        </w:rPr>
        <w:t xml:space="preserve"> communication </w:t>
      </w:r>
      <w:proofErr w:type="spellStart"/>
      <w:r w:rsidRPr="00F309FB">
        <w:rPr>
          <w:rFonts w:cs="Arial"/>
          <w:color w:val="000000"/>
        </w:rPr>
        <w:t>framework</w:t>
      </w:r>
      <w:proofErr w:type="spellEnd"/>
      <w:r w:rsidRPr="00F309FB">
        <w:rPr>
          <w:rFonts w:cs="Arial"/>
          <w:color w:val="000000"/>
        </w:rPr>
        <w:t xml:space="preserve">. </w:t>
      </w:r>
      <w:proofErr w:type="spellStart"/>
      <w:r w:rsidRPr="00F309FB">
        <w:rPr>
          <w:rFonts w:cs="Arial"/>
          <w:color w:val="000000"/>
        </w:rPr>
        <w:t>Corporate</w:t>
      </w:r>
      <w:proofErr w:type="spellEnd"/>
      <w:r w:rsidRPr="00F309FB">
        <w:rPr>
          <w:rFonts w:cs="Arial"/>
          <w:color w:val="000000"/>
        </w:rPr>
        <w:t xml:space="preserve"> Communications: An International Journal, 28(1), 103-117.</w:t>
      </w:r>
    </w:p>
    <w:p w14:paraId="146D603E" w14:textId="77777777" w:rsidR="00F309FB" w:rsidRPr="00F309FB" w:rsidRDefault="00F309FB" w:rsidP="00F309FB">
      <w:pPr>
        <w:ind w:left="721" w:hanging="555"/>
        <w:rPr>
          <w:rFonts w:cs="Arial"/>
          <w:color w:val="000000"/>
        </w:rPr>
      </w:pPr>
      <w:proofErr w:type="spellStart"/>
      <w:r w:rsidRPr="00F309FB">
        <w:rPr>
          <w:rFonts w:cs="Arial"/>
          <w:color w:val="000000"/>
        </w:rPr>
        <w:t>Chesney</w:t>
      </w:r>
      <w:proofErr w:type="spellEnd"/>
      <w:r w:rsidRPr="00F309FB">
        <w:rPr>
          <w:rFonts w:cs="Arial"/>
          <w:color w:val="000000"/>
        </w:rPr>
        <w:t xml:space="preserve">, B., &amp; Citron, D. (2019). </w:t>
      </w:r>
      <w:proofErr w:type="spellStart"/>
      <w:r w:rsidRPr="00F309FB">
        <w:rPr>
          <w:rFonts w:cs="Arial"/>
          <w:color w:val="000000"/>
        </w:rPr>
        <w:t>Deep</w:t>
      </w:r>
      <w:proofErr w:type="spellEnd"/>
      <w:r w:rsidRPr="00F309FB">
        <w:rPr>
          <w:rFonts w:cs="Arial"/>
          <w:color w:val="000000"/>
        </w:rPr>
        <w:t xml:space="preserve"> fakes: A </w:t>
      </w:r>
      <w:proofErr w:type="spellStart"/>
      <w:r w:rsidRPr="00F309FB">
        <w:rPr>
          <w:rFonts w:cs="Arial"/>
          <w:color w:val="000000"/>
        </w:rPr>
        <w:t>looming</w:t>
      </w:r>
      <w:proofErr w:type="spellEnd"/>
      <w:r w:rsidRPr="00F309FB">
        <w:rPr>
          <w:rFonts w:cs="Arial"/>
          <w:color w:val="000000"/>
        </w:rPr>
        <w:t xml:space="preserve"> challenge for </w:t>
      </w:r>
      <w:proofErr w:type="spellStart"/>
      <w:r w:rsidRPr="00F309FB">
        <w:rPr>
          <w:rFonts w:cs="Arial"/>
          <w:color w:val="000000"/>
        </w:rPr>
        <w:t>privacy</w:t>
      </w:r>
      <w:proofErr w:type="spellEnd"/>
      <w:r w:rsidRPr="00F309FB">
        <w:rPr>
          <w:rFonts w:cs="Arial"/>
          <w:color w:val="000000"/>
        </w:rPr>
        <w:t xml:space="preserve">, </w:t>
      </w:r>
      <w:proofErr w:type="spellStart"/>
      <w:r w:rsidRPr="00F309FB">
        <w:rPr>
          <w:rFonts w:cs="Arial"/>
          <w:color w:val="000000"/>
        </w:rPr>
        <w:t>democracy</w:t>
      </w:r>
      <w:proofErr w:type="spellEnd"/>
      <w:r w:rsidRPr="00F309FB">
        <w:rPr>
          <w:rFonts w:cs="Arial"/>
          <w:color w:val="000000"/>
        </w:rPr>
        <w:t xml:space="preserve">, and national </w:t>
      </w:r>
      <w:proofErr w:type="spellStart"/>
      <w:r w:rsidRPr="00F309FB">
        <w:rPr>
          <w:rFonts w:cs="Arial"/>
          <w:color w:val="000000"/>
        </w:rPr>
        <w:t>security</w:t>
      </w:r>
      <w:proofErr w:type="spellEnd"/>
      <w:r w:rsidRPr="00F309FB">
        <w:rPr>
          <w:rFonts w:cs="Arial"/>
          <w:color w:val="000000"/>
        </w:rPr>
        <w:t xml:space="preserve">. </w:t>
      </w:r>
      <w:proofErr w:type="spellStart"/>
      <w:r w:rsidRPr="00F309FB">
        <w:rPr>
          <w:rFonts w:cs="Arial"/>
          <w:color w:val="000000"/>
        </w:rPr>
        <w:t>Calif</w:t>
      </w:r>
      <w:proofErr w:type="spellEnd"/>
      <w:r w:rsidRPr="00F309FB">
        <w:rPr>
          <w:rFonts w:cs="Arial"/>
          <w:color w:val="000000"/>
        </w:rPr>
        <w:t xml:space="preserve">. L. </w:t>
      </w:r>
      <w:proofErr w:type="spellStart"/>
      <w:r w:rsidRPr="00F309FB">
        <w:rPr>
          <w:rFonts w:cs="Arial"/>
          <w:color w:val="000000"/>
        </w:rPr>
        <w:t>Rev</w:t>
      </w:r>
      <w:proofErr w:type="spellEnd"/>
      <w:r w:rsidRPr="00F309FB">
        <w:rPr>
          <w:rFonts w:cs="Arial"/>
          <w:color w:val="000000"/>
        </w:rPr>
        <w:t>., 107, 1753.</w:t>
      </w:r>
    </w:p>
    <w:p w14:paraId="4311F48E" w14:textId="77777777" w:rsidR="00F309FB" w:rsidRPr="00F309FB" w:rsidRDefault="00F309FB" w:rsidP="00F309FB">
      <w:pPr>
        <w:ind w:left="721" w:hanging="555"/>
        <w:rPr>
          <w:rFonts w:cs="Arial"/>
          <w:color w:val="000000"/>
        </w:rPr>
      </w:pPr>
      <w:proofErr w:type="spellStart"/>
      <w:r w:rsidRPr="00F309FB">
        <w:rPr>
          <w:rFonts w:cs="Arial"/>
          <w:color w:val="000000"/>
        </w:rPr>
        <w:t>Compin</w:t>
      </w:r>
      <w:proofErr w:type="spellEnd"/>
      <w:r w:rsidRPr="00F309FB">
        <w:rPr>
          <w:rFonts w:cs="Arial"/>
          <w:color w:val="000000"/>
        </w:rPr>
        <w:t xml:space="preserve">, F. (2016). Le risque de réputation en situation de communication de crise. </w:t>
      </w:r>
      <w:r w:rsidRPr="00F309FB">
        <w:rPr>
          <w:rFonts w:cs="Arial"/>
          <w:i/>
          <w:iCs/>
          <w:color w:val="000000"/>
        </w:rPr>
        <w:t>Communication &amp; Organisation</w:t>
      </w:r>
      <w:r w:rsidRPr="00F309FB">
        <w:rPr>
          <w:rFonts w:cs="Arial"/>
          <w:color w:val="000000"/>
        </w:rPr>
        <w:t>, 50, 279-294. </w:t>
      </w:r>
    </w:p>
    <w:p w14:paraId="22DFBF1D" w14:textId="77777777" w:rsidR="00F309FB" w:rsidRPr="00F309FB" w:rsidRDefault="00F309FB" w:rsidP="00F309FB">
      <w:pPr>
        <w:ind w:left="721" w:hanging="555"/>
        <w:rPr>
          <w:rFonts w:cs="Arial"/>
          <w:color w:val="000000"/>
        </w:rPr>
      </w:pPr>
      <w:r w:rsidRPr="00F309FB">
        <w:rPr>
          <w:rFonts w:cs="Arial"/>
          <w:color w:val="000000"/>
        </w:rPr>
        <w:t xml:space="preserve">Coombs, W. T., &amp; </w:t>
      </w:r>
      <w:proofErr w:type="spellStart"/>
      <w:r w:rsidRPr="00F309FB">
        <w:rPr>
          <w:rFonts w:cs="Arial"/>
          <w:color w:val="000000"/>
        </w:rPr>
        <w:t>Holladay</w:t>
      </w:r>
      <w:proofErr w:type="spellEnd"/>
      <w:r w:rsidRPr="00F309FB">
        <w:rPr>
          <w:rFonts w:cs="Arial"/>
          <w:color w:val="000000"/>
        </w:rPr>
        <w:t xml:space="preserve">, S. J. (2012). The </w:t>
      </w:r>
      <w:proofErr w:type="spellStart"/>
      <w:r w:rsidRPr="00F309FB">
        <w:rPr>
          <w:rFonts w:cs="Arial"/>
          <w:color w:val="000000"/>
        </w:rPr>
        <w:t>paracrisis</w:t>
      </w:r>
      <w:proofErr w:type="spellEnd"/>
      <w:r w:rsidRPr="00F309FB">
        <w:rPr>
          <w:rFonts w:cs="Arial"/>
          <w:color w:val="000000"/>
        </w:rPr>
        <w:t xml:space="preserve">: The challenges </w:t>
      </w:r>
      <w:proofErr w:type="spellStart"/>
      <w:r w:rsidRPr="00F309FB">
        <w:rPr>
          <w:rFonts w:cs="Arial"/>
          <w:color w:val="000000"/>
        </w:rPr>
        <w:t>created</w:t>
      </w:r>
      <w:proofErr w:type="spellEnd"/>
      <w:r w:rsidRPr="00F309FB">
        <w:rPr>
          <w:rFonts w:cs="Arial"/>
          <w:color w:val="000000"/>
        </w:rPr>
        <w:t xml:space="preserve"> by </w:t>
      </w:r>
      <w:proofErr w:type="spellStart"/>
      <w:r w:rsidRPr="00F309FB">
        <w:rPr>
          <w:rFonts w:cs="Arial"/>
          <w:color w:val="000000"/>
        </w:rPr>
        <w:t>publicly</w:t>
      </w:r>
      <w:proofErr w:type="spellEnd"/>
      <w:r w:rsidRPr="00F309FB">
        <w:rPr>
          <w:rFonts w:cs="Arial"/>
          <w:color w:val="000000"/>
        </w:rPr>
        <w:t xml:space="preserve"> </w:t>
      </w:r>
      <w:proofErr w:type="spellStart"/>
      <w:r w:rsidRPr="00F309FB">
        <w:rPr>
          <w:rFonts w:cs="Arial"/>
          <w:color w:val="000000"/>
        </w:rPr>
        <w:t>managing</w:t>
      </w:r>
      <w:proofErr w:type="spellEnd"/>
      <w:r w:rsidRPr="00F309FB">
        <w:rPr>
          <w:rFonts w:cs="Arial"/>
          <w:color w:val="000000"/>
        </w:rPr>
        <w:t xml:space="preserve"> </w:t>
      </w:r>
      <w:proofErr w:type="spellStart"/>
      <w:r w:rsidRPr="00F309FB">
        <w:rPr>
          <w:rFonts w:cs="Arial"/>
          <w:color w:val="000000"/>
        </w:rPr>
        <w:t>crisis</w:t>
      </w:r>
      <w:proofErr w:type="spellEnd"/>
      <w:r w:rsidRPr="00F309FB">
        <w:rPr>
          <w:rFonts w:cs="Arial"/>
          <w:color w:val="000000"/>
        </w:rPr>
        <w:t xml:space="preserve"> </w:t>
      </w:r>
      <w:proofErr w:type="spellStart"/>
      <w:r w:rsidRPr="00F309FB">
        <w:rPr>
          <w:rFonts w:cs="Arial"/>
          <w:color w:val="000000"/>
        </w:rPr>
        <w:t>prevention</w:t>
      </w:r>
      <w:proofErr w:type="spellEnd"/>
      <w:r w:rsidRPr="00F309FB">
        <w:rPr>
          <w:rFonts w:cs="Arial"/>
          <w:color w:val="000000"/>
        </w:rPr>
        <w:t xml:space="preserve">. Public Relations </w:t>
      </w:r>
      <w:proofErr w:type="spellStart"/>
      <w:r w:rsidRPr="00F309FB">
        <w:rPr>
          <w:rFonts w:cs="Arial"/>
          <w:color w:val="000000"/>
        </w:rPr>
        <w:t>Review</w:t>
      </w:r>
      <w:proofErr w:type="spellEnd"/>
      <w:r w:rsidRPr="00F309FB">
        <w:rPr>
          <w:rFonts w:cs="Arial"/>
          <w:color w:val="000000"/>
        </w:rPr>
        <w:t>, 38(3), 408–415. </w:t>
      </w:r>
    </w:p>
    <w:p w14:paraId="7CB38B2E" w14:textId="77777777" w:rsidR="00F309FB" w:rsidRPr="00F309FB" w:rsidRDefault="00F309FB" w:rsidP="00F309FB">
      <w:pPr>
        <w:ind w:left="721" w:hanging="555"/>
        <w:rPr>
          <w:rFonts w:cs="Arial"/>
          <w:color w:val="000000"/>
          <w:shd w:val="clear" w:color="auto" w:fill="FFFFFF"/>
        </w:rPr>
      </w:pPr>
      <w:r w:rsidRPr="00F309FB">
        <w:rPr>
          <w:rFonts w:cs="Arial"/>
          <w:color w:val="000000"/>
          <w:shd w:val="clear" w:color="auto" w:fill="FFFFFF"/>
        </w:rPr>
        <w:t xml:space="preserve">Coombs, W. T. (2019). </w:t>
      </w:r>
      <w:proofErr w:type="spellStart"/>
      <w:r w:rsidRPr="00F309FB">
        <w:rPr>
          <w:rFonts w:cs="Arial"/>
          <w:color w:val="000000"/>
          <w:shd w:val="clear" w:color="auto" w:fill="FFFFFF"/>
        </w:rPr>
        <w:t>Ongoing</w:t>
      </w:r>
      <w:proofErr w:type="spellEnd"/>
      <w:r w:rsidRPr="00F309FB">
        <w:rPr>
          <w:rFonts w:cs="Arial"/>
          <w:color w:val="000000"/>
          <w:shd w:val="clear" w:color="auto" w:fill="FFFFFF"/>
        </w:rPr>
        <w:t xml:space="preserve"> </w:t>
      </w:r>
      <w:proofErr w:type="spellStart"/>
      <w:r w:rsidRPr="00F309FB">
        <w:rPr>
          <w:rFonts w:cs="Arial"/>
          <w:color w:val="000000"/>
          <w:shd w:val="clear" w:color="auto" w:fill="FFFFFF"/>
        </w:rPr>
        <w:t>crisis</w:t>
      </w:r>
      <w:proofErr w:type="spellEnd"/>
      <w:r w:rsidRPr="00F309FB">
        <w:rPr>
          <w:rFonts w:cs="Arial"/>
          <w:color w:val="000000"/>
          <w:shd w:val="clear" w:color="auto" w:fill="FFFFFF"/>
        </w:rPr>
        <w:t xml:space="preserve"> communication: Planning, </w:t>
      </w:r>
      <w:proofErr w:type="spellStart"/>
      <w:r w:rsidRPr="00F309FB">
        <w:rPr>
          <w:rFonts w:cs="Arial"/>
          <w:color w:val="000000"/>
          <w:shd w:val="clear" w:color="auto" w:fill="FFFFFF"/>
        </w:rPr>
        <w:t>managing</w:t>
      </w:r>
      <w:proofErr w:type="spellEnd"/>
      <w:r w:rsidRPr="00F309FB">
        <w:rPr>
          <w:rFonts w:cs="Arial"/>
          <w:color w:val="000000"/>
          <w:shd w:val="clear" w:color="auto" w:fill="FFFFFF"/>
        </w:rPr>
        <w:t xml:space="preserve">, and </w:t>
      </w:r>
      <w:proofErr w:type="spellStart"/>
      <w:r w:rsidRPr="00F309FB">
        <w:rPr>
          <w:rFonts w:cs="Arial"/>
          <w:color w:val="000000"/>
          <w:shd w:val="clear" w:color="auto" w:fill="FFFFFF"/>
        </w:rPr>
        <w:t>responding</w:t>
      </w:r>
      <w:proofErr w:type="spellEnd"/>
      <w:r w:rsidRPr="00F309FB">
        <w:rPr>
          <w:rFonts w:cs="Arial"/>
          <w:color w:val="000000"/>
          <w:shd w:val="clear" w:color="auto" w:fill="FFFFFF"/>
        </w:rPr>
        <w:t xml:space="preserve"> (6th </w:t>
      </w:r>
      <w:proofErr w:type="spellStart"/>
      <w:r w:rsidRPr="00F309FB">
        <w:rPr>
          <w:rFonts w:cs="Arial"/>
          <w:color w:val="000000"/>
          <w:shd w:val="clear" w:color="auto" w:fill="FFFFFF"/>
        </w:rPr>
        <w:t>ed</w:t>
      </w:r>
      <w:proofErr w:type="spellEnd"/>
      <w:r w:rsidRPr="00F309FB">
        <w:rPr>
          <w:rFonts w:cs="Arial"/>
          <w:color w:val="000000"/>
          <w:shd w:val="clear" w:color="auto" w:fill="FFFFFF"/>
        </w:rPr>
        <w:t>.). Sage.</w:t>
      </w:r>
    </w:p>
    <w:p w14:paraId="0EEF6723" w14:textId="77777777" w:rsidR="00F309FB" w:rsidRPr="00F309FB" w:rsidRDefault="00F309FB" w:rsidP="00F309FB">
      <w:pPr>
        <w:ind w:left="721" w:hanging="555"/>
        <w:rPr>
          <w:rFonts w:cs="Arial"/>
          <w:color w:val="000000"/>
        </w:rPr>
      </w:pPr>
      <w:r w:rsidRPr="00F309FB">
        <w:rPr>
          <w:rFonts w:cs="Arial"/>
          <w:color w:val="000000"/>
        </w:rPr>
        <w:t xml:space="preserve">Delmas, M. A., &amp; </w:t>
      </w:r>
      <w:proofErr w:type="spellStart"/>
      <w:r w:rsidRPr="00F309FB">
        <w:rPr>
          <w:rFonts w:cs="Arial"/>
          <w:color w:val="000000"/>
        </w:rPr>
        <w:t>Burbano</w:t>
      </w:r>
      <w:proofErr w:type="spellEnd"/>
      <w:r w:rsidRPr="00F309FB">
        <w:rPr>
          <w:rFonts w:cs="Arial"/>
          <w:color w:val="000000"/>
        </w:rPr>
        <w:t xml:space="preserve">, V. C. (2011). The drivers of greenwashing. California management </w:t>
      </w:r>
      <w:proofErr w:type="spellStart"/>
      <w:r w:rsidRPr="00F309FB">
        <w:rPr>
          <w:rFonts w:cs="Arial"/>
          <w:color w:val="000000"/>
        </w:rPr>
        <w:t>review</w:t>
      </w:r>
      <w:proofErr w:type="spellEnd"/>
      <w:r w:rsidRPr="00F309FB">
        <w:rPr>
          <w:rFonts w:cs="Arial"/>
          <w:color w:val="000000"/>
        </w:rPr>
        <w:t>, 54(1), 64-87.</w:t>
      </w:r>
    </w:p>
    <w:p w14:paraId="11547446" w14:textId="77777777" w:rsidR="00F309FB" w:rsidRPr="00F309FB" w:rsidRDefault="00F309FB" w:rsidP="00F309FB">
      <w:pPr>
        <w:ind w:left="721" w:hanging="555"/>
        <w:rPr>
          <w:rFonts w:cs="Arial"/>
          <w:color w:val="000000"/>
        </w:rPr>
      </w:pPr>
      <w:r w:rsidRPr="00F309FB">
        <w:rPr>
          <w:rFonts w:cs="Arial"/>
          <w:color w:val="000000"/>
        </w:rPr>
        <w:t xml:space="preserve">Ewing, M., &amp; Lambert, C. A. (2019). </w:t>
      </w:r>
      <w:proofErr w:type="spellStart"/>
      <w:r w:rsidRPr="00F309FB">
        <w:rPr>
          <w:rFonts w:cs="Arial"/>
          <w:i/>
          <w:iCs/>
          <w:color w:val="000000"/>
        </w:rPr>
        <w:t>Listening</w:t>
      </w:r>
      <w:proofErr w:type="spellEnd"/>
      <w:r w:rsidRPr="00F309FB">
        <w:rPr>
          <w:rFonts w:cs="Arial"/>
          <w:i/>
          <w:iCs/>
          <w:color w:val="000000"/>
        </w:rPr>
        <w:t xml:space="preserve"> in: </w:t>
      </w:r>
      <w:proofErr w:type="spellStart"/>
      <w:r w:rsidRPr="00F309FB">
        <w:rPr>
          <w:rFonts w:cs="Arial"/>
          <w:i/>
          <w:iCs/>
          <w:color w:val="000000"/>
        </w:rPr>
        <w:t>Fostering</w:t>
      </w:r>
      <w:proofErr w:type="spellEnd"/>
      <w:r w:rsidRPr="00F309FB">
        <w:rPr>
          <w:rFonts w:cs="Arial"/>
          <w:i/>
          <w:iCs/>
          <w:color w:val="000000"/>
        </w:rPr>
        <w:t xml:space="preserve"> influencer </w:t>
      </w:r>
      <w:proofErr w:type="spellStart"/>
      <w:r w:rsidRPr="00F309FB">
        <w:rPr>
          <w:rFonts w:cs="Arial"/>
          <w:i/>
          <w:iCs/>
          <w:color w:val="000000"/>
        </w:rPr>
        <w:t>relationships</w:t>
      </w:r>
      <w:proofErr w:type="spellEnd"/>
      <w:r w:rsidRPr="00F309FB">
        <w:rPr>
          <w:rFonts w:cs="Arial"/>
          <w:i/>
          <w:iCs/>
          <w:color w:val="000000"/>
        </w:rPr>
        <w:t xml:space="preserve"> to manage fake news.</w:t>
      </w:r>
      <w:r w:rsidRPr="00F309FB">
        <w:rPr>
          <w:rFonts w:cs="Arial"/>
          <w:color w:val="000000"/>
        </w:rPr>
        <w:t xml:space="preserve"> </w:t>
      </w:r>
      <w:r w:rsidRPr="00F309FB">
        <w:rPr>
          <w:rFonts w:cs="Arial"/>
          <w:i/>
          <w:iCs/>
          <w:color w:val="000000"/>
        </w:rPr>
        <w:t>Public Relations Journal, 12</w:t>
      </w:r>
      <w:r w:rsidRPr="00F309FB">
        <w:rPr>
          <w:rFonts w:cs="Arial"/>
          <w:color w:val="000000"/>
        </w:rPr>
        <w:t>(4), 1–20</w:t>
      </w:r>
    </w:p>
    <w:p w14:paraId="6FFD4AA3" w14:textId="77777777" w:rsidR="00F309FB" w:rsidRPr="00F309FB" w:rsidRDefault="00F309FB" w:rsidP="00F309FB">
      <w:pPr>
        <w:ind w:left="721" w:hanging="555"/>
        <w:rPr>
          <w:rFonts w:cs="Arial"/>
          <w:color w:val="000000"/>
        </w:rPr>
      </w:pPr>
      <w:r w:rsidRPr="00F309FB">
        <w:rPr>
          <w:rFonts w:cs="Arial"/>
          <w:color w:val="000000"/>
        </w:rPr>
        <w:t xml:space="preserve">Ferrara, E. (2017). Contagion </w:t>
      </w:r>
      <w:proofErr w:type="spellStart"/>
      <w:r w:rsidRPr="00F309FB">
        <w:rPr>
          <w:rFonts w:cs="Arial"/>
          <w:color w:val="000000"/>
        </w:rPr>
        <w:t>dynamics</w:t>
      </w:r>
      <w:proofErr w:type="spellEnd"/>
      <w:r w:rsidRPr="00F309FB">
        <w:rPr>
          <w:rFonts w:cs="Arial"/>
          <w:color w:val="000000"/>
        </w:rPr>
        <w:t xml:space="preserve"> of </w:t>
      </w:r>
      <w:proofErr w:type="spellStart"/>
      <w:r w:rsidRPr="00F309FB">
        <w:rPr>
          <w:rFonts w:cs="Arial"/>
          <w:color w:val="000000"/>
        </w:rPr>
        <w:t>extremist</w:t>
      </w:r>
      <w:proofErr w:type="spellEnd"/>
      <w:r w:rsidRPr="00F309FB">
        <w:rPr>
          <w:rFonts w:cs="Arial"/>
          <w:color w:val="000000"/>
        </w:rPr>
        <w:t xml:space="preserve"> propaganda in social networks. Information Sciences, 418–419, 1–12.</w:t>
      </w:r>
    </w:p>
    <w:p w14:paraId="63254BAB" w14:textId="77777777" w:rsidR="00F309FB" w:rsidRPr="00F309FB" w:rsidRDefault="00F309FB" w:rsidP="00F309FB">
      <w:pPr>
        <w:ind w:left="721" w:hanging="555"/>
        <w:rPr>
          <w:rFonts w:cs="Arial"/>
          <w:color w:val="000000"/>
        </w:rPr>
      </w:pPr>
      <w:proofErr w:type="spellStart"/>
      <w:r w:rsidRPr="00F309FB">
        <w:rPr>
          <w:rFonts w:cs="Arial"/>
          <w:color w:val="000000"/>
        </w:rPr>
        <w:t>Gacem</w:t>
      </w:r>
      <w:proofErr w:type="spellEnd"/>
      <w:r w:rsidRPr="00F309FB">
        <w:rPr>
          <w:rFonts w:cs="Arial"/>
          <w:color w:val="000000"/>
        </w:rPr>
        <w:t xml:space="preserve">, S., Hervé, F., &amp; Marsat, S. (2025). </w:t>
      </w:r>
      <w:proofErr w:type="spellStart"/>
      <w:r w:rsidRPr="00F309FB">
        <w:rPr>
          <w:rFonts w:cs="Arial"/>
          <w:color w:val="000000"/>
        </w:rPr>
        <w:t>When</w:t>
      </w:r>
      <w:proofErr w:type="spellEnd"/>
      <w:r w:rsidRPr="00F309FB">
        <w:rPr>
          <w:rFonts w:cs="Arial"/>
          <w:color w:val="000000"/>
        </w:rPr>
        <w:t xml:space="preserve"> green </w:t>
      </w:r>
      <w:proofErr w:type="spellStart"/>
      <w:r w:rsidRPr="00F309FB">
        <w:rPr>
          <w:rFonts w:cs="Arial"/>
          <w:color w:val="000000"/>
        </w:rPr>
        <w:t>turns</w:t>
      </w:r>
      <w:proofErr w:type="spellEnd"/>
      <w:r w:rsidRPr="00F309FB">
        <w:rPr>
          <w:rFonts w:cs="Arial"/>
          <w:color w:val="000000"/>
        </w:rPr>
        <w:t xml:space="preserve"> </w:t>
      </w:r>
      <w:proofErr w:type="spellStart"/>
      <w:r w:rsidRPr="00F309FB">
        <w:rPr>
          <w:rFonts w:cs="Arial"/>
          <w:color w:val="000000"/>
        </w:rPr>
        <w:t>red</w:t>
      </w:r>
      <w:proofErr w:type="spellEnd"/>
      <w:r w:rsidRPr="00F309FB">
        <w:rPr>
          <w:rFonts w:cs="Arial"/>
          <w:color w:val="000000"/>
        </w:rPr>
        <w:t xml:space="preserve">: Is the perception of greenwashing a </w:t>
      </w:r>
      <w:proofErr w:type="spellStart"/>
      <w:r w:rsidRPr="00F309FB">
        <w:rPr>
          <w:rFonts w:cs="Arial"/>
          <w:color w:val="000000"/>
        </w:rPr>
        <w:t>barrier</w:t>
      </w:r>
      <w:proofErr w:type="spellEnd"/>
      <w:r w:rsidRPr="00F309FB">
        <w:rPr>
          <w:rFonts w:cs="Arial"/>
          <w:color w:val="000000"/>
        </w:rPr>
        <w:t xml:space="preserve"> to </w:t>
      </w:r>
      <w:proofErr w:type="spellStart"/>
      <w:r w:rsidRPr="00F309FB">
        <w:rPr>
          <w:rFonts w:cs="Arial"/>
          <w:color w:val="000000"/>
        </w:rPr>
        <w:t>individual</w:t>
      </w:r>
      <w:proofErr w:type="spellEnd"/>
      <w:r w:rsidRPr="00F309FB">
        <w:rPr>
          <w:rFonts w:cs="Arial"/>
          <w:color w:val="000000"/>
        </w:rPr>
        <w:t xml:space="preserve"> green </w:t>
      </w:r>
      <w:proofErr w:type="spellStart"/>
      <w:r w:rsidRPr="00F309FB">
        <w:rPr>
          <w:rFonts w:cs="Arial"/>
          <w:color w:val="000000"/>
        </w:rPr>
        <w:t>investment</w:t>
      </w:r>
      <w:proofErr w:type="spellEnd"/>
      <w:r w:rsidRPr="00F309FB">
        <w:rPr>
          <w:rFonts w:cs="Arial"/>
          <w:color w:val="000000"/>
        </w:rPr>
        <w:t xml:space="preserve">? Finance </w:t>
      </w:r>
      <w:proofErr w:type="spellStart"/>
      <w:r w:rsidRPr="00F309FB">
        <w:rPr>
          <w:rFonts w:cs="Arial"/>
          <w:color w:val="000000"/>
        </w:rPr>
        <w:t>Research</w:t>
      </w:r>
      <w:proofErr w:type="spellEnd"/>
      <w:r w:rsidRPr="00F309FB">
        <w:rPr>
          <w:rFonts w:cs="Arial"/>
          <w:color w:val="000000"/>
        </w:rPr>
        <w:t xml:space="preserve"> </w:t>
      </w:r>
      <w:proofErr w:type="spellStart"/>
      <w:r w:rsidRPr="00F309FB">
        <w:rPr>
          <w:rFonts w:cs="Arial"/>
          <w:color w:val="000000"/>
        </w:rPr>
        <w:t>Letters</w:t>
      </w:r>
      <w:proofErr w:type="spellEnd"/>
      <w:r w:rsidRPr="00F309FB">
        <w:rPr>
          <w:rFonts w:cs="Arial"/>
          <w:color w:val="000000"/>
        </w:rPr>
        <w:t>, 107605.</w:t>
      </w:r>
    </w:p>
    <w:p w14:paraId="28D4D416" w14:textId="77777777" w:rsidR="00F309FB" w:rsidRPr="00F309FB" w:rsidRDefault="00F309FB" w:rsidP="00F309FB">
      <w:pPr>
        <w:ind w:left="721" w:hanging="555"/>
        <w:rPr>
          <w:rFonts w:cs="Arial"/>
          <w:color w:val="000000"/>
        </w:rPr>
      </w:pPr>
      <w:proofErr w:type="spellStart"/>
      <w:r w:rsidRPr="00F309FB">
        <w:rPr>
          <w:rFonts w:cs="Arial"/>
          <w:color w:val="000000"/>
        </w:rPr>
        <w:t>Glavas</w:t>
      </w:r>
      <w:proofErr w:type="spellEnd"/>
      <w:r w:rsidRPr="00F309FB">
        <w:rPr>
          <w:rFonts w:cs="Arial"/>
          <w:color w:val="000000"/>
        </w:rPr>
        <w:t xml:space="preserve">, D., Grolleau, G., &amp; </w:t>
      </w:r>
      <w:proofErr w:type="spellStart"/>
      <w:r w:rsidRPr="00F309FB">
        <w:rPr>
          <w:rFonts w:cs="Arial"/>
          <w:color w:val="000000"/>
        </w:rPr>
        <w:t>Mzoughi</w:t>
      </w:r>
      <w:proofErr w:type="spellEnd"/>
      <w:r w:rsidRPr="00F309FB">
        <w:rPr>
          <w:rFonts w:cs="Arial"/>
          <w:color w:val="000000"/>
        </w:rPr>
        <w:t xml:space="preserve">, N. (2023). </w:t>
      </w:r>
      <w:proofErr w:type="spellStart"/>
      <w:r w:rsidRPr="00F309FB">
        <w:rPr>
          <w:rFonts w:cs="Arial"/>
          <w:color w:val="000000"/>
        </w:rPr>
        <w:t>Greening</w:t>
      </w:r>
      <w:proofErr w:type="spellEnd"/>
      <w:r w:rsidRPr="00F309FB">
        <w:rPr>
          <w:rFonts w:cs="Arial"/>
          <w:color w:val="000000"/>
        </w:rPr>
        <w:t xml:space="preserve"> the </w:t>
      </w:r>
      <w:proofErr w:type="spellStart"/>
      <w:r w:rsidRPr="00F309FB">
        <w:rPr>
          <w:rFonts w:cs="Arial"/>
          <w:color w:val="000000"/>
        </w:rPr>
        <w:t>greenwashers</w:t>
      </w:r>
      <w:proofErr w:type="spellEnd"/>
      <w:r w:rsidRPr="00F309FB">
        <w:rPr>
          <w:rFonts w:cs="Arial"/>
          <w:color w:val="000000"/>
        </w:rPr>
        <w:t xml:space="preserve">–How to push </w:t>
      </w:r>
      <w:proofErr w:type="spellStart"/>
      <w:r w:rsidRPr="00F309FB">
        <w:rPr>
          <w:rFonts w:cs="Arial"/>
          <w:color w:val="000000"/>
        </w:rPr>
        <w:t>greenwashers</w:t>
      </w:r>
      <w:proofErr w:type="spellEnd"/>
      <w:r w:rsidRPr="00F309FB">
        <w:rPr>
          <w:rFonts w:cs="Arial"/>
          <w:color w:val="000000"/>
        </w:rPr>
        <w:t xml:space="preserve"> </w:t>
      </w:r>
      <w:proofErr w:type="spellStart"/>
      <w:r w:rsidRPr="00F309FB">
        <w:rPr>
          <w:rFonts w:cs="Arial"/>
          <w:color w:val="000000"/>
        </w:rPr>
        <w:t>towards</w:t>
      </w:r>
      <w:proofErr w:type="spellEnd"/>
      <w:r w:rsidRPr="00F309FB">
        <w:rPr>
          <w:rFonts w:cs="Arial"/>
          <w:color w:val="000000"/>
        </w:rPr>
        <w:t xml:space="preserve"> more </w:t>
      </w:r>
      <w:proofErr w:type="spellStart"/>
      <w:r w:rsidRPr="00F309FB">
        <w:rPr>
          <w:rFonts w:cs="Arial"/>
          <w:color w:val="000000"/>
        </w:rPr>
        <w:t>sustainable</w:t>
      </w:r>
      <w:proofErr w:type="spellEnd"/>
      <w:r w:rsidRPr="00F309FB">
        <w:rPr>
          <w:rFonts w:cs="Arial"/>
          <w:color w:val="000000"/>
        </w:rPr>
        <w:t xml:space="preserve"> </w:t>
      </w:r>
      <w:proofErr w:type="spellStart"/>
      <w:r w:rsidRPr="00F309FB">
        <w:rPr>
          <w:rFonts w:cs="Arial"/>
          <w:color w:val="000000"/>
        </w:rPr>
        <w:t>trajectories</w:t>
      </w:r>
      <w:proofErr w:type="spellEnd"/>
      <w:r w:rsidRPr="00F309FB">
        <w:rPr>
          <w:rFonts w:cs="Arial"/>
          <w:color w:val="000000"/>
        </w:rPr>
        <w:t>. Journal of Cleaner Production, 382, 135301.</w:t>
      </w:r>
    </w:p>
    <w:p w14:paraId="07D9183A" w14:textId="77777777" w:rsidR="00F309FB" w:rsidRPr="00F309FB" w:rsidRDefault="00F309FB" w:rsidP="00F309FB">
      <w:pPr>
        <w:ind w:left="721" w:hanging="555"/>
        <w:rPr>
          <w:rFonts w:cs="Arial"/>
          <w:noProof/>
        </w:rPr>
      </w:pPr>
      <w:r w:rsidRPr="00F309FB">
        <w:rPr>
          <w:rFonts w:cs="Arial"/>
          <w:noProof/>
        </w:rPr>
        <w:t xml:space="preserve">d'Hennezel, C. (2017). </w:t>
      </w:r>
      <w:r w:rsidRPr="00F309FB">
        <w:rPr>
          <w:rFonts w:cs="Arial"/>
          <w:i/>
          <w:iCs/>
          <w:noProof/>
        </w:rPr>
        <w:t>Analyse communciationnelle des pratiques d'intelligence économique et de veille dans les petites entreprises en secteur innovant.</w:t>
      </w:r>
      <w:r w:rsidRPr="00F309FB">
        <w:rPr>
          <w:rFonts w:cs="Arial"/>
          <w:noProof/>
        </w:rPr>
        <w:t xml:space="preserve"> Thèse de doctorat, Ecole doctorale Bordeaux humanités, Bordeaux.</w:t>
      </w:r>
    </w:p>
    <w:p w14:paraId="2E832072" w14:textId="77777777" w:rsidR="00F309FB" w:rsidRPr="00F309FB" w:rsidRDefault="00F309FB" w:rsidP="00F309FB">
      <w:pPr>
        <w:ind w:left="721" w:hanging="555"/>
        <w:rPr>
          <w:rFonts w:cs="Arial"/>
          <w:color w:val="000000"/>
        </w:rPr>
      </w:pPr>
      <w:proofErr w:type="spellStart"/>
      <w:r w:rsidRPr="00F309FB">
        <w:rPr>
          <w:rFonts w:cs="Arial"/>
          <w:color w:val="000000"/>
        </w:rPr>
        <w:t>Honisch</w:t>
      </w:r>
      <w:proofErr w:type="spellEnd"/>
      <w:r w:rsidRPr="00F309FB">
        <w:rPr>
          <w:rFonts w:cs="Arial"/>
          <w:color w:val="000000"/>
        </w:rPr>
        <w:t xml:space="preserve">, S. V., &amp; </w:t>
      </w:r>
      <w:proofErr w:type="spellStart"/>
      <w:r w:rsidRPr="00F309FB">
        <w:rPr>
          <w:rFonts w:cs="Arial"/>
          <w:color w:val="000000"/>
        </w:rPr>
        <w:t>Más</w:t>
      </w:r>
      <w:proofErr w:type="spellEnd"/>
      <w:r w:rsidRPr="00F309FB">
        <w:rPr>
          <w:rFonts w:cs="Arial"/>
          <w:color w:val="000000"/>
        </w:rPr>
        <w:t xml:space="preserve"> </w:t>
      </w:r>
      <w:proofErr w:type="spellStart"/>
      <w:r w:rsidRPr="00F309FB">
        <w:rPr>
          <w:rFonts w:cs="Arial"/>
          <w:color w:val="000000"/>
        </w:rPr>
        <w:t>Manchón</w:t>
      </w:r>
      <w:proofErr w:type="spellEnd"/>
      <w:r w:rsidRPr="00F309FB">
        <w:rPr>
          <w:rFonts w:cs="Arial"/>
          <w:color w:val="000000"/>
        </w:rPr>
        <w:t xml:space="preserve">, L. (2020). The </w:t>
      </w:r>
      <w:proofErr w:type="spellStart"/>
      <w:r w:rsidRPr="00F309FB">
        <w:rPr>
          <w:rFonts w:cs="Arial"/>
          <w:color w:val="000000"/>
        </w:rPr>
        <w:t>effects</w:t>
      </w:r>
      <w:proofErr w:type="spellEnd"/>
      <w:r w:rsidRPr="00F309FB">
        <w:rPr>
          <w:rFonts w:cs="Arial"/>
          <w:color w:val="000000"/>
        </w:rPr>
        <w:t xml:space="preserve"> of </w:t>
      </w:r>
      <w:proofErr w:type="spellStart"/>
      <w:r w:rsidRPr="00F309FB">
        <w:rPr>
          <w:rFonts w:cs="Arial"/>
          <w:color w:val="000000"/>
        </w:rPr>
        <w:t>paracrisis</w:t>
      </w:r>
      <w:proofErr w:type="spellEnd"/>
      <w:r w:rsidRPr="00F309FB">
        <w:rPr>
          <w:rFonts w:cs="Arial"/>
          <w:color w:val="000000"/>
        </w:rPr>
        <w:t xml:space="preserve"> </w:t>
      </w:r>
      <w:proofErr w:type="spellStart"/>
      <w:r w:rsidRPr="00F309FB">
        <w:rPr>
          <w:rFonts w:cs="Arial"/>
          <w:color w:val="000000"/>
        </w:rPr>
        <w:t>origin</w:t>
      </w:r>
      <w:proofErr w:type="spellEnd"/>
      <w:r w:rsidRPr="00F309FB">
        <w:rPr>
          <w:rFonts w:cs="Arial"/>
          <w:color w:val="000000"/>
        </w:rPr>
        <w:t xml:space="preserve"> and </w:t>
      </w:r>
      <w:proofErr w:type="spellStart"/>
      <w:r w:rsidRPr="00F309FB">
        <w:rPr>
          <w:rFonts w:cs="Arial"/>
          <w:color w:val="000000"/>
        </w:rPr>
        <w:t>response</w:t>
      </w:r>
      <w:proofErr w:type="spellEnd"/>
      <w:r w:rsidRPr="00F309FB">
        <w:rPr>
          <w:rFonts w:cs="Arial"/>
          <w:color w:val="000000"/>
        </w:rPr>
        <w:t xml:space="preserve"> </w:t>
      </w:r>
      <w:proofErr w:type="spellStart"/>
      <w:r w:rsidRPr="00F309FB">
        <w:rPr>
          <w:rFonts w:cs="Arial"/>
          <w:color w:val="000000"/>
        </w:rPr>
        <w:t>strategy</w:t>
      </w:r>
      <w:proofErr w:type="spellEnd"/>
      <w:r w:rsidRPr="00F309FB">
        <w:rPr>
          <w:rFonts w:cs="Arial"/>
          <w:color w:val="000000"/>
        </w:rPr>
        <w:t xml:space="preserve"> on Facebook </w:t>
      </w:r>
      <w:proofErr w:type="spellStart"/>
      <w:r w:rsidRPr="00F309FB">
        <w:rPr>
          <w:rFonts w:cs="Arial"/>
          <w:color w:val="000000"/>
        </w:rPr>
        <w:t>audience’s</w:t>
      </w:r>
      <w:proofErr w:type="spellEnd"/>
      <w:r w:rsidRPr="00F309FB">
        <w:rPr>
          <w:rFonts w:cs="Arial"/>
          <w:color w:val="000000"/>
        </w:rPr>
        <w:t xml:space="preserve"> </w:t>
      </w:r>
      <w:proofErr w:type="spellStart"/>
      <w:r w:rsidRPr="00F309FB">
        <w:rPr>
          <w:rFonts w:cs="Arial"/>
          <w:color w:val="000000"/>
        </w:rPr>
        <w:t>perceived</w:t>
      </w:r>
      <w:proofErr w:type="spellEnd"/>
      <w:r w:rsidRPr="00F309FB">
        <w:rPr>
          <w:rFonts w:cs="Arial"/>
          <w:color w:val="000000"/>
        </w:rPr>
        <w:t xml:space="preserve"> </w:t>
      </w:r>
      <w:proofErr w:type="spellStart"/>
      <w:r w:rsidRPr="00F309FB">
        <w:rPr>
          <w:rFonts w:cs="Arial"/>
          <w:color w:val="000000"/>
        </w:rPr>
        <w:t>organisational</w:t>
      </w:r>
      <w:proofErr w:type="spellEnd"/>
      <w:r w:rsidRPr="00F309FB">
        <w:rPr>
          <w:rFonts w:cs="Arial"/>
          <w:color w:val="000000"/>
        </w:rPr>
        <w:t xml:space="preserve"> </w:t>
      </w:r>
      <w:proofErr w:type="spellStart"/>
      <w:r w:rsidRPr="00F309FB">
        <w:rPr>
          <w:rFonts w:cs="Arial"/>
          <w:color w:val="000000"/>
        </w:rPr>
        <w:t>reputation</w:t>
      </w:r>
      <w:proofErr w:type="spellEnd"/>
      <w:r w:rsidRPr="00F309FB">
        <w:rPr>
          <w:rFonts w:cs="Arial"/>
          <w:color w:val="000000"/>
        </w:rPr>
        <w:t xml:space="preserve"> and </w:t>
      </w:r>
      <w:proofErr w:type="spellStart"/>
      <w:r w:rsidRPr="00F309FB">
        <w:rPr>
          <w:rFonts w:cs="Arial"/>
          <w:color w:val="000000"/>
        </w:rPr>
        <w:t>behavioural</w:t>
      </w:r>
      <w:proofErr w:type="spellEnd"/>
      <w:r w:rsidRPr="00F309FB">
        <w:rPr>
          <w:rFonts w:cs="Arial"/>
          <w:color w:val="000000"/>
        </w:rPr>
        <w:t xml:space="preserve"> intentions. </w:t>
      </w:r>
      <w:proofErr w:type="spellStart"/>
      <w:r w:rsidRPr="00F309FB">
        <w:rPr>
          <w:rFonts w:cs="Arial"/>
          <w:color w:val="000000"/>
        </w:rPr>
        <w:t>Corporate</w:t>
      </w:r>
      <w:proofErr w:type="spellEnd"/>
      <w:r w:rsidRPr="00F309FB">
        <w:rPr>
          <w:rFonts w:cs="Arial"/>
          <w:color w:val="000000"/>
        </w:rPr>
        <w:t xml:space="preserve"> </w:t>
      </w:r>
      <w:proofErr w:type="spellStart"/>
      <w:r w:rsidRPr="00F309FB">
        <w:rPr>
          <w:rFonts w:cs="Arial"/>
          <w:color w:val="000000"/>
        </w:rPr>
        <w:t>Reputation</w:t>
      </w:r>
      <w:proofErr w:type="spellEnd"/>
      <w:r w:rsidRPr="00F309FB">
        <w:rPr>
          <w:rFonts w:cs="Arial"/>
          <w:color w:val="000000"/>
        </w:rPr>
        <w:t xml:space="preserve"> </w:t>
      </w:r>
      <w:proofErr w:type="spellStart"/>
      <w:r w:rsidRPr="00F309FB">
        <w:rPr>
          <w:rFonts w:cs="Arial"/>
          <w:color w:val="000000"/>
        </w:rPr>
        <w:t>Review</w:t>
      </w:r>
      <w:proofErr w:type="spellEnd"/>
      <w:r w:rsidRPr="00F309FB">
        <w:rPr>
          <w:rFonts w:cs="Arial"/>
          <w:color w:val="000000"/>
        </w:rPr>
        <w:t>, 23(3), 133-144.</w:t>
      </w:r>
    </w:p>
    <w:p w14:paraId="778071CE" w14:textId="77777777" w:rsidR="00F309FB" w:rsidRPr="00F309FB" w:rsidRDefault="00F309FB" w:rsidP="00F309FB">
      <w:pPr>
        <w:ind w:left="721" w:hanging="555"/>
        <w:rPr>
          <w:rFonts w:cs="Arial"/>
          <w:color w:val="000000"/>
        </w:rPr>
      </w:pPr>
      <w:r w:rsidRPr="00F309FB">
        <w:rPr>
          <w:rFonts w:cs="Arial"/>
          <w:color w:val="000000"/>
        </w:rPr>
        <w:t xml:space="preserve">Ivan Ivanov et </w:t>
      </w:r>
      <w:proofErr w:type="spellStart"/>
      <w:r w:rsidRPr="00F309FB">
        <w:rPr>
          <w:rFonts w:cs="Arial"/>
          <w:color w:val="000000"/>
        </w:rPr>
        <w:t>Yéroséo</w:t>
      </w:r>
      <w:proofErr w:type="spellEnd"/>
      <w:r w:rsidRPr="00F309FB">
        <w:rPr>
          <w:rFonts w:cs="Arial"/>
          <w:color w:val="000000"/>
        </w:rPr>
        <w:t xml:space="preserve"> Aris </w:t>
      </w:r>
      <w:proofErr w:type="spellStart"/>
      <w:r w:rsidRPr="00F309FB">
        <w:rPr>
          <w:rFonts w:cs="Arial"/>
          <w:color w:val="000000"/>
        </w:rPr>
        <w:t>Kusiélé</w:t>
      </w:r>
      <w:proofErr w:type="spellEnd"/>
      <w:r w:rsidRPr="00F309FB">
        <w:rPr>
          <w:rFonts w:cs="Arial"/>
          <w:color w:val="000000"/>
        </w:rPr>
        <w:t xml:space="preserve"> </w:t>
      </w:r>
      <w:proofErr w:type="spellStart"/>
      <w:r w:rsidRPr="00F309FB">
        <w:rPr>
          <w:rFonts w:cs="Arial"/>
          <w:color w:val="000000"/>
        </w:rPr>
        <w:t>Somda</w:t>
      </w:r>
      <w:proofErr w:type="spellEnd"/>
      <w:r w:rsidRPr="00F309FB">
        <w:rPr>
          <w:rFonts w:cs="Arial"/>
          <w:color w:val="000000"/>
        </w:rPr>
        <w:t xml:space="preserve">, « Crise et communication interne : typifications, </w:t>
      </w:r>
      <w:proofErr w:type="spellStart"/>
      <w:r w:rsidRPr="00F309FB">
        <w:rPr>
          <w:rFonts w:cs="Arial"/>
          <w:i/>
          <w:iCs/>
          <w:color w:val="000000"/>
        </w:rPr>
        <w:t>arrested</w:t>
      </w:r>
      <w:proofErr w:type="spellEnd"/>
      <w:r w:rsidRPr="00F309FB">
        <w:rPr>
          <w:rFonts w:cs="Arial"/>
          <w:i/>
          <w:iCs/>
          <w:color w:val="000000"/>
        </w:rPr>
        <w:t xml:space="preserve"> sensemaking</w:t>
      </w:r>
      <w:r w:rsidRPr="00F309FB">
        <w:rPr>
          <w:rFonts w:cs="Arial"/>
          <w:color w:val="000000"/>
        </w:rPr>
        <w:t xml:space="preserve"> et marge d’action communicationnelle », </w:t>
      </w:r>
      <w:r w:rsidRPr="00F309FB">
        <w:rPr>
          <w:rFonts w:cs="Arial"/>
          <w:i/>
          <w:iCs/>
          <w:color w:val="000000"/>
        </w:rPr>
        <w:t>Communication et organisation</w:t>
      </w:r>
      <w:r w:rsidRPr="00F309FB">
        <w:rPr>
          <w:rFonts w:cs="Arial"/>
          <w:color w:val="000000"/>
        </w:rPr>
        <w:t>, 66 | 2024, 37-54.</w:t>
      </w:r>
    </w:p>
    <w:p w14:paraId="159AD51D" w14:textId="77777777" w:rsidR="00F309FB" w:rsidRPr="00F309FB" w:rsidRDefault="00F309FB" w:rsidP="00F309FB">
      <w:pPr>
        <w:ind w:left="721" w:hanging="555"/>
        <w:rPr>
          <w:rFonts w:cs="Arial"/>
          <w:color w:val="000000"/>
        </w:rPr>
      </w:pPr>
      <w:proofErr w:type="spellStart"/>
      <w:r w:rsidRPr="00F309FB">
        <w:rPr>
          <w:rFonts w:cs="Arial"/>
          <w:color w:val="000000"/>
        </w:rPr>
        <w:t>Jahng</w:t>
      </w:r>
      <w:proofErr w:type="spellEnd"/>
      <w:r w:rsidRPr="00F309FB">
        <w:rPr>
          <w:rFonts w:cs="Arial"/>
          <w:color w:val="000000"/>
        </w:rPr>
        <w:t xml:space="preserve">, M. R., Lee, H., &amp; </w:t>
      </w:r>
      <w:proofErr w:type="spellStart"/>
      <w:r w:rsidRPr="00F309FB">
        <w:rPr>
          <w:rFonts w:cs="Arial"/>
          <w:color w:val="000000"/>
        </w:rPr>
        <w:t>Rochadiat</w:t>
      </w:r>
      <w:proofErr w:type="spellEnd"/>
      <w:r w:rsidRPr="00F309FB">
        <w:rPr>
          <w:rFonts w:cs="Arial"/>
          <w:color w:val="000000"/>
        </w:rPr>
        <w:t xml:space="preserve">, A. (2020). Public relations </w:t>
      </w:r>
      <w:proofErr w:type="spellStart"/>
      <w:r w:rsidRPr="00F309FB">
        <w:rPr>
          <w:rFonts w:cs="Arial"/>
          <w:color w:val="000000"/>
        </w:rPr>
        <w:t>practitioners</w:t>
      </w:r>
      <w:proofErr w:type="spellEnd"/>
      <w:r w:rsidRPr="00F309FB">
        <w:rPr>
          <w:rFonts w:cs="Arial"/>
          <w:color w:val="000000"/>
        </w:rPr>
        <w:t xml:space="preserve">’ management of fake news: </w:t>
      </w:r>
      <w:proofErr w:type="spellStart"/>
      <w:r w:rsidRPr="00F309FB">
        <w:rPr>
          <w:rFonts w:cs="Arial"/>
          <w:color w:val="000000"/>
        </w:rPr>
        <w:t>Exploring</w:t>
      </w:r>
      <w:proofErr w:type="spellEnd"/>
      <w:r w:rsidRPr="00F309FB">
        <w:rPr>
          <w:rFonts w:cs="Arial"/>
          <w:color w:val="000000"/>
        </w:rPr>
        <w:t xml:space="preserve"> key </w:t>
      </w:r>
      <w:proofErr w:type="spellStart"/>
      <w:r w:rsidRPr="00F309FB">
        <w:rPr>
          <w:rFonts w:cs="Arial"/>
          <w:color w:val="000000"/>
        </w:rPr>
        <w:t>elements</w:t>
      </w:r>
      <w:proofErr w:type="spellEnd"/>
      <w:r w:rsidRPr="00F309FB">
        <w:rPr>
          <w:rFonts w:cs="Arial"/>
          <w:color w:val="000000"/>
        </w:rPr>
        <w:t xml:space="preserve"> and </w:t>
      </w:r>
      <w:proofErr w:type="spellStart"/>
      <w:r w:rsidRPr="00F309FB">
        <w:rPr>
          <w:rFonts w:cs="Arial"/>
          <w:color w:val="000000"/>
        </w:rPr>
        <w:t>acts</w:t>
      </w:r>
      <w:proofErr w:type="spellEnd"/>
      <w:r w:rsidRPr="00F309FB">
        <w:rPr>
          <w:rFonts w:cs="Arial"/>
          <w:color w:val="000000"/>
        </w:rPr>
        <w:t xml:space="preserve"> of information </w:t>
      </w:r>
      <w:proofErr w:type="spellStart"/>
      <w:r w:rsidRPr="00F309FB">
        <w:rPr>
          <w:rFonts w:cs="Arial"/>
          <w:color w:val="000000"/>
        </w:rPr>
        <w:t>authentication</w:t>
      </w:r>
      <w:proofErr w:type="spellEnd"/>
      <w:r w:rsidRPr="00F309FB">
        <w:rPr>
          <w:rFonts w:cs="Arial"/>
          <w:color w:val="000000"/>
        </w:rPr>
        <w:t xml:space="preserve">. Public Relations </w:t>
      </w:r>
      <w:proofErr w:type="spellStart"/>
      <w:r w:rsidRPr="00F309FB">
        <w:rPr>
          <w:rFonts w:cs="Arial"/>
          <w:color w:val="000000"/>
        </w:rPr>
        <w:t>Review</w:t>
      </w:r>
      <w:proofErr w:type="spellEnd"/>
      <w:r w:rsidRPr="00F309FB">
        <w:rPr>
          <w:rFonts w:cs="Arial"/>
          <w:color w:val="000000"/>
        </w:rPr>
        <w:t>, 46(2), 101907. </w:t>
      </w:r>
    </w:p>
    <w:p w14:paraId="6FEE74F3" w14:textId="77777777" w:rsidR="00F309FB" w:rsidRPr="00F309FB" w:rsidRDefault="00F309FB" w:rsidP="00F309FB">
      <w:pPr>
        <w:ind w:left="721" w:hanging="555"/>
        <w:rPr>
          <w:rFonts w:cs="Arial"/>
          <w:color w:val="000000"/>
        </w:rPr>
      </w:pPr>
      <w:r w:rsidRPr="00F309FB">
        <w:rPr>
          <w:rFonts w:cs="Arial"/>
          <w:color w:val="000000"/>
        </w:rPr>
        <w:t xml:space="preserve">Juillet, A., </w:t>
      </w:r>
      <w:proofErr w:type="spellStart"/>
      <w:r w:rsidRPr="00F309FB">
        <w:rPr>
          <w:rFonts w:cs="Arial"/>
          <w:color w:val="000000"/>
        </w:rPr>
        <w:t>Racoucho</w:t>
      </w:r>
      <w:proofErr w:type="spellEnd"/>
      <w:r w:rsidRPr="00F309FB">
        <w:rPr>
          <w:rFonts w:cs="Arial"/>
          <w:color w:val="000000"/>
        </w:rPr>
        <w:t xml:space="preserve">, B. (2012). Les stratégies d’influence ou la liberté de l’esprit face à la pensée convenue. </w:t>
      </w:r>
      <w:r w:rsidRPr="00F309FB">
        <w:rPr>
          <w:rFonts w:cs="Arial"/>
          <w:i/>
          <w:iCs/>
          <w:color w:val="000000"/>
        </w:rPr>
        <w:t>Revue internationale d’intelligence économique, Vol 4</w:t>
      </w:r>
      <w:r w:rsidRPr="00F309FB">
        <w:rPr>
          <w:rFonts w:cs="Arial"/>
          <w:color w:val="000000"/>
        </w:rPr>
        <w:t>(1), 87-102.</w:t>
      </w:r>
    </w:p>
    <w:p w14:paraId="2A09900E" w14:textId="77777777" w:rsidR="00F309FB" w:rsidRPr="00F309FB" w:rsidRDefault="00F309FB" w:rsidP="00F309FB">
      <w:pPr>
        <w:ind w:left="721" w:hanging="555"/>
        <w:rPr>
          <w:rFonts w:cs="Arial"/>
          <w:color w:val="000000"/>
        </w:rPr>
      </w:pPr>
      <w:proofErr w:type="spellStart"/>
      <w:r w:rsidRPr="00F309FB">
        <w:rPr>
          <w:rFonts w:cs="Arial"/>
          <w:color w:val="000000"/>
        </w:rPr>
        <w:t>Kampani</w:t>
      </w:r>
      <w:proofErr w:type="spellEnd"/>
      <w:r w:rsidRPr="00F309FB">
        <w:rPr>
          <w:rFonts w:cs="Arial"/>
          <w:color w:val="000000"/>
        </w:rPr>
        <w:t xml:space="preserve">, L. (2024). “A JOKE A DAY, KEEPS THE CRISIS AT BAY”: A qualitative content </w:t>
      </w:r>
      <w:proofErr w:type="spellStart"/>
      <w:r w:rsidRPr="00F309FB">
        <w:rPr>
          <w:rFonts w:cs="Arial"/>
          <w:color w:val="000000"/>
        </w:rPr>
        <w:t>analysis</w:t>
      </w:r>
      <w:proofErr w:type="spellEnd"/>
      <w:r w:rsidRPr="00F309FB">
        <w:rPr>
          <w:rFonts w:cs="Arial"/>
          <w:color w:val="000000"/>
        </w:rPr>
        <w:t xml:space="preserve"> of Ryanair </w:t>
      </w:r>
      <w:proofErr w:type="spellStart"/>
      <w:r w:rsidRPr="00F309FB">
        <w:rPr>
          <w:rFonts w:cs="Arial"/>
          <w:color w:val="000000"/>
        </w:rPr>
        <w:t>humorous</w:t>
      </w:r>
      <w:proofErr w:type="spellEnd"/>
      <w:r w:rsidRPr="00F309FB">
        <w:rPr>
          <w:rFonts w:cs="Arial"/>
          <w:color w:val="000000"/>
        </w:rPr>
        <w:t xml:space="preserve"> </w:t>
      </w:r>
      <w:proofErr w:type="spellStart"/>
      <w:r w:rsidRPr="00F309FB">
        <w:rPr>
          <w:rFonts w:cs="Arial"/>
          <w:color w:val="000000"/>
        </w:rPr>
        <w:t>response</w:t>
      </w:r>
      <w:proofErr w:type="spellEnd"/>
      <w:r w:rsidRPr="00F309FB">
        <w:rPr>
          <w:rFonts w:cs="Arial"/>
          <w:color w:val="000000"/>
        </w:rPr>
        <w:t xml:space="preserve"> </w:t>
      </w:r>
      <w:proofErr w:type="spellStart"/>
      <w:r w:rsidRPr="00F309FB">
        <w:rPr>
          <w:rFonts w:cs="Arial"/>
          <w:color w:val="000000"/>
        </w:rPr>
        <w:t>strategy</w:t>
      </w:r>
      <w:proofErr w:type="spellEnd"/>
      <w:r w:rsidRPr="00F309FB">
        <w:rPr>
          <w:rFonts w:cs="Arial"/>
          <w:color w:val="000000"/>
        </w:rPr>
        <w:t xml:space="preserve"> on X in a </w:t>
      </w:r>
      <w:proofErr w:type="spellStart"/>
      <w:r w:rsidRPr="00F309FB">
        <w:rPr>
          <w:rFonts w:cs="Arial"/>
          <w:color w:val="000000"/>
        </w:rPr>
        <w:t>paracrisis</w:t>
      </w:r>
      <w:proofErr w:type="spellEnd"/>
      <w:r w:rsidRPr="00F309FB">
        <w:rPr>
          <w:rFonts w:cs="Arial"/>
          <w:color w:val="000000"/>
        </w:rPr>
        <w:t>.</w:t>
      </w:r>
    </w:p>
    <w:p w14:paraId="4BE833A4" w14:textId="77777777" w:rsidR="00F309FB" w:rsidRPr="00F309FB" w:rsidRDefault="00F309FB" w:rsidP="00F309FB">
      <w:pPr>
        <w:ind w:left="721" w:hanging="555"/>
        <w:rPr>
          <w:rFonts w:cs="Arial"/>
          <w:color w:val="000000"/>
        </w:rPr>
      </w:pPr>
      <w:proofErr w:type="spellStart"/>
      <w:r w:rsidRPr="00F309FB">
        <w:rPr>
          <w:rFonts w:cs="Arial"/>
          <w:color w:val="000000"/>
        </w:rPr>
        <w:t>Karinshak</w:t>
      </w:r>
      <w:proofErr w:type="spellEnd"/>
      <w:r w:rsidRPr="00F309FB">
        <w:rPr>
          <w:rFonts w:cs="Arial"/>
          <w:color w:val="000000"/>
        </w:rPr>
        <w:t>, E., &amp; Jin, Y. (2023). AI-</w:t>
      </w:r>
      <w:proofErr w:type="spellStart"/>
      <w:r w:rsidRPr="00F309FB">
        <w:rPr>
          <w:rFonts w:cs="Arial"/>
          <w:color w:val="000000"/>
        </w:rPr>
        <w:t>driven</w:t>
      </w:r>
      <w:proofErr w:type="spellEnd"/>
      <w:r w:rsidRPr="00F309FB">
        <w:rPr>
          <w:rFonts w:cs="Arial"/>
          <w:color w:val="000000"/>
        </w:rPr>
        <w:t xml:space="preserve"> </w:t>
      </w:r>
      <w:proofErr w:type="spellStart"/>
      <w:r w:rsidRPr="00F309FB">
        <w:rPr>
          <w:rFonts w:cs="Arial"/>
          <w:color w:val="000000"/>
        </w:rPr>
        <w:t>disinformation</w:t>
      </w:r>
      <w:proofErr w:type="spellEnd"/>
      <w:r w:rsidRPr="00F309FB">
        <w:rPr>
          <w:rFonts w:cs="Arial"/>
          <w:color w:val="000000"/>
        </w:rPr>
        <w:t xml:space="preserve">: A </w:t>
      </w:r>
      <w:proofErr w:type="spellStart"/>
      <w:r w:rsidRPr="00F309FB">
        <w:rPr>
          <w:rFonts w:cs="Arial"/>
          <w:color w:val="000000"/>
        </w:rPr>
        <w:t>framework</w:t>
      </w:r>
      <w:proofErr w:type="spellEnd"/>
      <w:r w:rsidRPr="00F309FB">
        <w:rPr>
          <w:rFonts w:cs="Arial"/>
          <w:color w:val="000000"/>
        </w:rPr>
        <w:t xml:space="preserve"> for </w:t>
      </w:r>
      <w:proofErr w:type="spellStart"/>
      <w:r w:rsidRPr="00F309FB">
        <w:rPr>
          <w:rFonts w:cs="Arial"/>
          <w:color w:val="000000"/>
        </w:rPr>
        <w:t>organizational</w:t>
      </w:r>
      <w:proofErr w:type="spellEnd"/>
      <w:r w:rsidRPr="00F309FB">
        <w:rPr>
          <w:rFonts w:cs="Arial"/>
          <w:color w:val="000000"/>
        </w:rPr>
        <w:t xml:space="preserve"> </w:t>
      </w:r>
      <w:proofErr w:type="spellStart"/>
      <w:r w:rsidRPr="00F309FB">
        <w:rPr>
          <w:rFonts w:cs="Arial"/>
          <w:color w:val="000000"/>
        </w:rPr>
        <w:t>preparation</w:t>
      </w:r>
      <w:proofErr w:type="spellEnd"/>
      <w:r w:rsidRPr="00F309FB">
        <w:rPr>
          <w:rFonts w:cs="Arial"/>
          <w:color w:val="000000"/>
        </w:rPr>
        <w:t xml:space="preserve"> and </w:t>
      </w:r>
      <w:proofErr w:type="spellStart"/>
      <w:r w:rsidRPr="00F309FB">
        <w:rPr>
          <w:rFonts w:cs="Arial"/>
          <w:color w:val="000000"/>
        </w:rPr>
        <w:t>response</w:t>
      </w:r>
      <w:proofErr w:type="spellEnd"/>
      <w:r w:rsidRPr="00F309FB">
        <w:rPr>
          <w:rFonts w:cs="Arial"/>
          <w:color w:val="000000"/>
        </w:rPr>
        <w:t>. Journal of Communication Management, 27(4), 539–562.</w:t>
      </w:r>
    </w:p>
    <w:p w14:paraId="2611EA27" w14:textId="77777777" w:rsidR="00F309FB" w:rsidRPr="00F309FB" w:rsidRDefault="00F309FB" w:rsidP="00F309FB">
      <w:pPr>
        <w:ind w:left="721" w:hanging="555"/>
        <w:rPr>
          <w:rFonts w:cs="Arial"/>
          <w:color w:val="000000"/>
        </w:rPr>
      </w:pPr>
      <w:r w:rsidRPr="00F309FB">
        <w:rPr>
          <w:rFonts w:cs="Arial"/>
          <w:color w:val="000000"/>
        </w:rPr>
        <w:t>Keyes, R. (2004). The post-</w:t>
      </w:r>
      <w:proofErr w:type="spellStart"/>
      <w:r w:rsidRPr="00F309FB">
        <w:rPr>
          <w:rFonts w:cs="Arial"/>
          <w:color w:val="000000"/>
        </w:rPr>
        <w:t>truth</w:t>
      </w:r>
      <w:proofErr w:type="spellEnd"/>
      <w:r w:rsidRPr="00F309FB">
        <w:rPr>
          <w:rFonts w:cs="Arial"/>
          <w:color w:val="000000"/>
        </w:rPr>
        <w:t xml:space="preserve"> </w:t>
      </w:r>
      <w:proofErr w:type="spellStart"/>
      <w:r w:rsidRPr="00F309FB">
        <w:rPr>
          <w:rFonts w:cs="Arial"/>
          <w:color w:val="000000"/>
        </w:rPr>
        <w:t>era</w:t>
      </w:r>
      <w:proofErr w:type="spellEnd"/>
      <w:r w:rsidRPr="00F309FB">
        <w:rPr>
          <w:rFonts w:cs="Arial"/>
          <w:color w:val="000000"/>
        </w:rPr>
        <w:t xml:space="preserve">: </w:t>
      </w:r>
      <w:proofErr w:type="spellStart"/>
      <w:r w:rsidRPr="00F309FB">
        <w:rPr>
          <w:rFonts w:cs="Arial"/>
          <w:color w:val="000000"/>
        </w:rPr>
        <w:t>Dishonesty</w:t>
      </w:r>
      <w:proofErr w:type="spellEnd"/>
      <w:r w:rsidRPr="00F309FB">
        <w:rPr>
          <w:rFonts w:cs="Arial"/>
          <w:color w:val="000000"/>
        </w:rPr>
        <w:t xml:space="preserve"> and </w:t>
      </w:r>
      <w:proofErr w:type="spellStart"/>
      <w:r w:rsidRPr="00F309FB">
        <w:rPr>
          <w:rFonts w:cs="Arial"/>
          <w:color w:val="000000"/>
        </w:rPr>
        <w:t>deception</w:t>
      </w:r>
      <w:proofErr w:type="spellEnd"/>
      <w:r w:rsidRPr="00F309FB">
        <w:rPr>
          <w:rFonts w:cs="Arial"/>
          <w:color w:val="000000"/>
        </w:rPr>
        <w:t xml:space="preserve"> in </w:t>
      </w:r>
      <w:proofErr w:type="spellStart"/>
      <w:r w:rsidRPr="00F309FB">
        <w:rPr>
          <w:rFonts w:cs="Arial"/>
          <w:color w:val="000000"/>
        </w:rPr>
        <w:t>contemporary</w:t>
      </w:r>
      <w:proofErr w:type="spellEnd"/>
      <w:r w:rsidRPr="00F309FB">
        <w:rPr>
          <w:rFonts w:cs="Arial"/>
          <w:color w:val="000000"/>
        </w:rPr>
        <w:t xml:space="preserve"> life. Macmillan.</w:t>
      </w:r>
    </w:p>
    <w:p w14:paraId="1850B043" w14:textId="77777777" w:rsidR="00F309FB" w:rsidRPr="00F309FB" w:rsidRDefault="00F309FB" w:rsidP="00F309FB">
      <w:pPr>
        <w:ind w:left="721" w:hanging="555"/>
        <w:rPr>
          <w:rFonts w:cs="Arial"/>
          <w:color w:val="000000"/>
        </w:rPr>
      </w:pPr>
      <w:r w:rsidRPr="00F309FB">
        <w:rPr>
          <w:rFonts w:cs="Arial"/>
          <w:color w:val="000000"/>
        </w:rPr>
        <w:t xml:space="preserve">Kim, E. H., &amp; Lyon, T. P. (2015). </w:t>
      </w:r>
      <w:proofErr w:type="spellStart"/>
      <w:r w:rsidRPr="00F309FB">
        <w:rPr>
          <w:rFonts w:cs="Arial"/>
          <w:color w:val="000000"/>
        </w:rPr>
        <w:t>Greenwash</w:t>
      </w:r>
      <w:proofErr w:type="spellEnd"/>
      <w:r w:rsidRPr="00F309FB">
        <w:rPr>
          <w:rFonts w:cs="Arial"/>
          <w:color w:val="000000"/>
        </w:rPr>
        <w:t xml:space="preserve"> vs. </w:t>
      </w:r>
      <w:proofErr w:type="spellStart"/>
      <w:r w:rsidRPr="00F309FB">
        <w:rPr>
          <w:rFonts w:cs="Arial"/>
          <w:color w:val="000000"/>
        </w:rPr>
        <w:t>brownwash</w:t>
      </w:r>
      <w:proofErr w:type="spellEnd"/>
      <w:r w:rsidRPr="00F309FB">
        <w:rPr>
          <w:rFonts w:cs="Arial"/>
          <w:color w:val="000000"/>
        </w:rPr>
        <w:t xml:space="preserve">: </w:t>
      </w:r>
      <w:proofErr w:type="spellStart"/>
      <w:r w:rsidRPr="00F309FB">
        <w:rPr>
          <w:rFonts w:cs="Arial"/>
          <w:color w:val="000000"/>
        </w:rPr>
        <w:t>Exaggeration</w:t>
      </w:r>
      <w:proofErr w:type="spellEnd"/>
      <w:r w:rsidRPr="00F309FB">
        <w:rPr>
          <w:rFonts w:cs="Arial"/>
          <w:color w:val="000000"/>
        </w:rPr>
        <w:t xml:space="preserve"> and </w:t>
      </w:r>
      <w:proofErr w:type="spellStart"/>
      <w:r w:rsidRPr="00F309FB">
        <w:rPr>
          <w:rFonts w:cs="Arial"/>
          <w:color w:val="000000"/>
        </w:rPr>
        <w:t>undue</w:t>
      </w:r>
      <w:proofErr w:type="spellEnd"/>
      <w:r w:rsidRPr="00F309FB">
        <w:rPr>
          <w:rFonts w:cs="Arial"/>
          <w:color w:val="000000"/>
        </w:rPr>
        <w:t xml:space="preserve"> </w:t>
      </w:r>
      <w:proofErr w:type="spellStart"/>
      <w:r w:rsidRPr="00F309FB">
        <w:rPr>
          <w:rFonts w:cs="Arial"/>
          <w:color w:val="000000"/>
        </w:rPr>
        <w:t>modesty</w:t>
      </w:r>
      <w:proofErr w:type="spellEnd"/>
      <w:r w:rsidRPr="00F309FB">
        <w:rPr>
          <w:rFonts w:cs="Arial"/>
          <w:color w:val="000000"/>
        </w:rPr>
        <w:t xml:space="preserve"> in </w:t>
      </w:r>
      <w:proofErr w:type="spellStart"/>
      <w:r w:rsidRPr="00F309FB">
        <w:rPr>
          <w:rFonts w:cs="Arial"/>
          <w:color w:val="000000"/>
        </w:rPr>
        <w:t>corporate</w:t>
      </w:r>
      <w:proofErr w:type="spellEnd"/>
      <w:r w:rsidRPr="00F309FB">
        <w:rPr>
          <w:rFonts w:cs="Arial"/>
          <w:color w:val="000000"/>
        </w:rPr>
        <w:t xml:space="preserve"> </w:t>
      </w:r>
      <w:proofErr w:type="spellStart"/>
      <w:r w:rsidRPr="00F309FB">
        <w:rPr>
          <w:rFonts w:cs="Arial"/>
          <w:color w:val="000000"/>
        </w:rPr>
        <w:t>sustainability</w:t>
      </w:r>
      <w:proofErr w:type="spellEnd"/>
      <w:r w:rsidRPr="00F309FB">
        <w:rPr>
          <w:rFonts w:cs="Arial"/>
          <w:color w:val="000000"/>
        </w:rPr>
        <w:t xml:space="preserve"> </w:t>
      </w:r>
      <w:proofErr w:type="spellStart"/>
      <w:r w:rsidRPr="00F309FB">
        <w:rPr>
          <w:rFonts w:cs="Arial"/>
          <w:color w:val="000000"/>
        </w:rPr>
        <w:t>disclosure</w:t>
      </w:r>
      <w:proofErr w:type="spellEnd"/>
      <w:r w:rsidRPr="00F309FB">
        <w:rPr>
          <w:rFonts w:cs="Arial"/>
          <w:color w:val="000000"/>
        </w:rPr>
        <w:t xml:space="preserve">. </w:t>
      </w:r>
      <w:proofErr w:type="spellStart"/>
      <w:r w:rsidRPr="00F309FB">
        <w:rPr>
          <w:rFonts w:cs="Arial"/>
          <w:color w:val="000000"/>
        </w:rPr>
        <w:t>Organization</w:t>
      </w:r>
      <w:proofErr w:type="spellEnd"/>
      <w:r w:rsidRPr="00F309FB">
        <w:rPr>
          <w:rFonts w:cs="Arial"/>
          <w:color w:val="000000"/>
        </w:rPr>
        <w:t xml:space="preserve"> science, 26(3), 705-723.</w:t>
      </w:r>
    </w:p>
    <w:p w14:paraId="6A86C8DD" w14:textId="77777777" w:rsidR="00F309FB" w:rsidRPr="00F309FB" w:rsidRDefault="00F309FB" w:rsidP="00F309FB">
      <w:pPr>
        <w:ind w:left="721" w:hanging="555"/>
        <w:rPr>
          <w:rFonts w:cs="Arial"/>
          <w:color w:val="000000"/>
        </w:rPr>
      </w:pPr>
      <w:proofErr w:type="spellStart"/>
      <w:r w:rsidRPr="00F309FB">
        <w:rPr>
          <w:rFonts w:cs="Arial"/>
          <w:color w:val="000000"/>
        </w:rPr>
        <w:t>Larivet</w:t>
      </w:r>
      <w:proofErr w:type="spellEnd"/>
      <w:r w:rsidRPr="00F309FB">
        <w:rPr>
          <w:rFonts w:cs="Arial"/>
          <w:color w:val="000000"/>
        </w:rPr>
        <w:t>, S. (2006). L'intelligence économique : un concept managérial. Marketing &amp; Communication, . 6(3), 22-35. </w:t>
      </w:r>
    </w:p>
    <w:p w14:paraId="4FD4ADE9" w14:textId="77777777" w:rsidR="00F309FB" w:rsidRPr="00F309FB" w:rsidRDefault="00F309FB" w:rsidP="00F309FB">
      <w:pPr>
        <w:ind w:left="721" w:hanging="555"/>
        <w:rPr>
          <w:rFonts w:cs="Arial"/>
          <w:color w:val="000000"/>
        </w:rPr>
      </w:pPr>
      <w:proofErr w:type="spellStart"/>
      <w:r w:rsidRPr="00F309FB">
        <w:rPr>
          <w:rFonts w:cs="Arial"/>
          <w:color w:val="000000"/>
        </w:rPr>
        <w:t>Libmann</w:t>
      </w:r>
      <w:proofErr w:type="spellEnd"/>
      <w:r w:rsidRPr="00F309FB">
        <w:rPr>
          <w:rFonts w:cs="Arial"/>
          <w:color w:val="000000"/>
        </w:rPr>
        <w:t>, A. (2014). L'intelligence du risque : les métiers de l'information au premier plan. Documentaliste. Sciences de l'information(51), 64-65. </w:t>
      </w:r>
    </w:p>
    <w:p w14:paraId="2D20A581" w14:textId="77777777" w:rsidR="00F309FB" w:rsidRPr="00F309FB" w:rsidRDefault="00F309FB" w:rsidP="00F309FB">
      <w:pPr>
        <w:ind w:left="721" w:hanging="555"/>
        <w:rPr>
          <w:rFonts w:cs="Arial"/>
          <w:color w:val="000000"/>
        </w:rPr>
      </w:pPr>
      <w:proofErr w:type="spellStart"/>
      <w:r w:rsidRPr="00F309FB">
        <w:rPr>
          <w:rFonts w:cs="Arial"/>
          <w:color w:val="000000"/>
        </w:rPr>
        <w:t>Liquète</w:t>
      </w:r>
      <w:proofErr w:type="spellEnd"/>
      <w:r w:rsidRPr="00F309FB">
        <w:rPr>
          <w:rFonts w:cs="Arial"/>
          <w:color w:val="000000"/>
        </w:rPr>
        <w:t xml:space="preserve">, V., De Lourdes Oliveira, I., &amp; </w:t>
      </w:r>
      <w:proofErr w:type="spellStart"/>
      <w:r w:rsidRPr="00F309FB">
        <w:rPr>
          <w:rFonts w:cs="Arial"/>
          <w:color w:val="000000"/>
        </w:rPr>
        <w:t>Salgueiro</w:t>
      </w:r>
      <w:proofErr w:type="spellEnd"/>
      <w:r w:rsidRPr="00F309FB">
        <w:rPr>
          <w:rFonts w:cs="Arial"/>
          <w:color w:val="000000"/>
        </w:rPr>
        <w:t xml:space="preserve"> Marques, A. (2017). Les nouvelles cultures de l'information dans les organisations. Communication &amp; Organisation, 1(51), 5-11. </w:t>
      </w:r>
    </w:p>
    <w:p w14:paraId="587A01E1" w14:textId="77777777" w:rsidR="00F309FB" w:rsidRPr="00F309FB" w:rsidRDefault="00F309FB" w:rsidP="00F309FB">
      <w:pPr>
        <w:ind w:left="721" w:hanging="555"/>
        <w:rPr>
          <w:rFonts w:cs="Arial"/>
          <w:color w:val="000000"/>
        </w:rPr>
      </w:pPr>
      <w:r w:rsidRPr="00F309FB">
        <w:rPr>
          <w:rFonts w:cs="Arial"/>
          <w:color w:val="000000"/>
        </w:rPr>
        <w:t>Maurel, D. et Chebbi, A. (2012). La perception de la confiance informationnelle Impacts sur les comportements informationnels et les pratiques documentaires en contexte organisationnel. Communication &amp; Organisation, 42(2), 73-90. </w:t>
      </w:r>
    </w:p>
    <w:p w14:paraId="5BA70188" w14:textId="77777777" w:rsidR="00F309FB" w:rsidRPr="00F309FB" w:rsidRDefault="00F309FB" w:rsidP="00F309FB">
      <w:pPr>
        <w:ind w:left="721" w:hanging="555"/>
        <w:rPr>
          <w:rFonts w:cs="Arial"/>
          <w:color w:val="000000"/>
        </w:rPr>
      </w:pPr>
      <w:proofErr w:type="spellStart"/>
      <w:r w:rsidRPr="00F309FB">
        <w:rPr>
          <w:rFonts w:cs="Arial"/>
          <w:color w:val="000000"/>
        </w:rPr>
        <w:t>Oukropec</w:t>
      </w:r>
      <w:proofErr w:type="spellEnd"/>
      <w:r w:rsidRPr="00F309FB">
        <w:rPr>
          <w:rFonts w:cs="Arial"/>
          <w:color w:val="000000"/>
        </w:rPr>
        <w:t xml:space="preserve">, J. (2024). </w:t>
      </w:r>
      <w:proofErr w:type="spellStart"/>
      <w:r w:rsidRPr="00F309FB">
        <w:rPr>
          <w:rFonts w:cs="Arial"/>
          <w:color w:val="000000"/>
        </w:rPr>
        <w:t>DHL’s</w:t>
      </w:r>
      <w:proofErr w:type="spellEnd"/>
      <w:r w:rsidRPr="00F309FB">
        <w:rPr>
          <w:rFonts w:cs="Arial"/>
          <w:color w:val="000000"/>
        </w:rPr>
        <w:t xml:space="preserve"> </w:t>
      </w:r>
      <w:proofErr w:type="spellStart"/>
      <w:r w:rsidRPr="00F309FB">
        <w:rPr>
          <w:rFonts w:cs="Arial"/>
          <w:color w:val="000000"/>
        </w:rPr>
        <w:t>spreading</w:t>
      </w:r>
      <w:proofErr w:type="spellEnd"/>
      <w:r w:rsidRPr="00F309FB">
        <w:rPr>
          <w:rFonts w:cs="Arial"/>
          <w:color w:val="000000"/>
        </w:rPr>
        <w:t xml:space="preserve"> COVID-19 over the sky? Handling </w:t>
      </w:r>
      <w:proofErr w:type="spellStart"/>
      <w:r w:rsidRPr="00F309FB">
        <w:rPr>
          <w:rFonts w:cs="Arial"/>
          <w:color w:val="000000"/>
        </w:rPr>
        <w:t>corporate</w:t>
      </w:r>
      <w:proofErr w:type="spellEnd"/>
      <w:r w:rsidRPr="00F309FB">
        <w:rPr>
          <w:rFonts w:cs="Arial"/>
          <w:color w:val="000000"/>
        </w:rPr>
        <w:t xml:space="preserve"> </w:t>
      </w:r>
      <w:proofErr w:type="spellStart"/>
      <w:r w:rsidRPr="00F309FB">
        <w:rPr>
          <w:rFonts w:cs="Arial"/>
          <w:color w:val="000000"/>
        </w:rPr>
        <w:t>response</w:t>
      </w:r>
      <w:proofErr w:type="spellEnd"/>
      <w:r w:rsidRPr="00F309FB">
        <w:rPr>
          <w:rFonts w:cs="Arial"/>
          <w:color w:val="000000"/>
        </w:rPr>
        <w:t xml:space="preserve"> to </w:t>
      </w:r>
      <w:proofErr w:type="spellStart"/>
      <w:r w:rsidRPr="00F309FB">
        <w:rPr>
          <w:rFonts w:cs="Arial"/>
          <w:color w:val="000000"/>
        </w:rPr>
        <w:t>misinformation</w:t>
      </w:r>
      <w:proofErr w:type="spellEnd"/>
      <w:r w:rsidRPr="00F309FB">
        <w:rPr>
          <w:rFonts w:cs="Arial"/>
          <w:color w:val="000000"/>
        </w:rPr>
        <w:t xml:space="preserve"> </w:t>
      </w:r>
      <w:proofErr w:type="spellStart"/>
      <w:r w:rsidRPr="00F309FB">
        <w:rPr>
          <w:rFonts w:cs="Arial"/>
          <w:color w:val="000000"/>
        </w:rPr>
        <w:t>with</w:t>
      </w:r>
      <w:proofErr w:type="spellEnd"/>
      <w:r w:rsidRPr="00F309FB">
        <w:rPr>
          <w:rFonts w:cs="Arial"/>
          <w:color w:val="000000"/>
        </w:rPr>
        <w:t xml:space="preserve"> humour. </w:t>
      </w:r>
      <w:proofErr w:type="spellStart"/>
      <w:r w:rsidRPr="00F309FB">
        <w:rPr>
          <w:rFonts w:cs="Arial"/>
          <w:color w:val="000000"/>
        </w:rPr>
        <w:t>Corporate</w:t>
      </w:r>
      <w:proofErr w:type="spellEnd"/>
      <w:r w:rsidRPr="00F309FB">
        <w:rPr>
          <w:rFonts w:cs="Arial"/>
          <w:color w:val="000000"/>
        </w:rPr>
        <w:t xml:space="preserve"> </w:t>
      </w:r>
      <w:proofErr w:type="spellStart"/>
      <w:r w:rsidRPr="00F309FB">
        <w:rPr>
          <w:rFonts w:cs="Arial"/>
          <w:color w:val="000000"/>
        </w:rPr>
        <w:t>Reputation</w:t>
      </w:r>
      <w:proofErr w:type="spellEnd"/>
      <w:r w:rsidRPr="00F309FB">
        <w:rPr>
          <w:rFonts w:cs="Arial"/>
          <w:color w:val="000000"/>
        </w:rPr>
        <w:t xml:space="preserve"> </w:t>
      </w:r>
      <w:proofErr w:type="spellStart"/>
      <w:r w:rsidRPr="00F309FB">
        <w:rPr>
          <w:rFonts w:cs="Arial"/>
          <w:color w:val="000000"/>
        </w:rPr>
        <w:t>Review</w:t>
      </w:r>
      <w:proofErr w:type="spellEnd"/>
      <w:r w:rsidRPr="00F309FB">
        <w:rPr>
          <w:rFonts w:cs="Arial"/>
          <w:color w:val="000000"/>
        </w:rPr>
        <w:t>, 1-12.</w:t>
      </w:r>
    </w:p>
    <w:p w14:paraId="30F2B4B8" w14:textId="77777777" w:rsidR="00F309FB" w:rsidRPr="00F309FB" w:rsidRDefault="00F309FB" w:rsidP="00F309FB">
      <w:pPr>
        <w:ind w:left="721" w:hanging="555"/>
        <w:rPr>
          <w:rFonts w:cs="Arial"/>
          <w:color w:val="000000"/>
        </w:rPr>
      </w:pPr>
      <w:proofErr w:type="spellStart"/>
      <w:r w:rsidRPr="00F309FB">
        <w:rPr>
          <w:rFonts w:cs="Arial"/>
          <w:color w:val="000000"/>
        </w:rPr>
        <w:t>Oukropec</w:t>
      </w:r>
      <w:proofErr w:type="spellEnd"/>
      <w:r w:rsidRPr="00F309FB">
        <w:rPr>
          <w:rFonts w:cs="Arial"/>
          <w:color w:val="000000"/>
        </w:rPr>
        <w:t xml:space="preserve">, J. (2025). Strategic </w:t>
      </w:r>
      <w:proofErr w:type="spellStart"/>
      <w:r w:rsidRPr="00F309FB">
        <w:rPr>
          <w:rFonts w:cs="Arial"/>
          <w:color w:val="000000"/>
        </w:rPr>
        <w:t>Defense</w:t>
      </w:r>
      <w:proofErr w:type="spellEnd"/>
      <w:r w:rsidRPr="00F309FB">
        <w:rPr>
          <w:rFonts w:cs="Arial"/>
          <w:color w:val="000000"/>
        </w:rPr>
        <w:t xml:space="preserve"> Against </w:t>
      </w:r>
      <w:proofErr w:type="spellStart"/>
      <w:r w:rsidRPr="00F309FB">
        <w:rPr>
          <w:rFonts w:cs="Arial"/>
          <w:color w:val="000000"/>
        </w:rPr>
        <w:t>Misinformation</w:t>
      </w:r>
      <w:proofErr w:type="spellEnd"/>
      <w:r w:rsidRPr="00F309FB">
        <w:rPr>
          <w:rFonts w:cs="Arial"/>
          <w:color w:val="000000"/>
        </w:rPr>
        <w:t xml:space="preserve">: </w:t>
      </w:r>
      <w:proofErr w:type="spellStart"/>
      <w:r w:rsidRPr="00F309FB">
        <w:rPr>
          <w:rFonts w:cs="Arial"/>
          <w:color w:val="000000"/>
        </w:rPr>
        <w:t>Empirical</w:t>
      </w:r>
      <w:proofErr w:type="spellEnd"/>
      <w:r w:rsidRPr="00F309FB">
        <w:rPr>
          <w:rFonts w:cs="Arial"/>
          <w:color w:val="000000"/>
        </w:rPr>
        <w:t xml:space="preserve"> </w:t>
      </w:r>
      <w:proofErr w:type="spellStart"/>
      <w:r w:rsidRPr="00F309FB">
        <w:rPr>
          <w:rFonts w:cs="Arial"/>
          <w:color w:val="000000"/>
        </w:rPr>
        <w:t>Findings</w:t>
      </w:r>
      <w:proofErr w:type="spellEnd"/>
      <w:r w:rsidRPr="00F309FB">
        <w:rPr>
          <w:rFonts w:cs="Arial"/>
          <w:color w:val="000000"/>
        </w:rPr>
        <w:t xml:space="preserve"> on </w:t>
      </w:r>
      <w:proofErr w:type="spellStart"/>
      <w:r w:rsidRPr="00F309FB">
        <w:rPr>
          <w:rFonts w:cs="Arial"/>
          <w:color w:val="000000"/>
        </w:rPr>
        <w:t>Paracrisis</w:t>
      </w:r>
      <w:proofErr w:type="spellEnd"/>
      <w:r w:rsidRPr="00F309FB">
        <w:rPr>
          <w:rFonts w:cs="Arial"/>
          <w:color w:val="000000"/>
        </w:rPr>
        <w:t xml:space="preserve"> </w:t>
      </w:r>
      <w:proofErr w:type="spellStart"/>
      <w:r w:rsidRPr="00F309FB">
        <w:rPr>
          <w:rFonts w:cs="Arial"/>
          <w:color w:val="000000"/>
        </w:rPr>
        <w:t>Responses</w:t>
      </w:r>
      <w:proofErr w:type="spellEnd"/>
      <w:r w:rsidRPr="00F309FB">
        <w:rPr>
          <w:rFonts w:cs="Arial"/>
          <w:color w:val="000000"/>
        </w:rPr>
        <w:t>. International Journal of Strategic Communication, 19(1), 54-85.</w:t>
      </w:r>
    </w:p>
    <w:p w14:paraId="6A0BC96A" w14:textId="77777777" w:rsidR="00F309FB" w:rsidRPr="00F309FB" w:rsidRDefault="00F309FB" w:rsidP="00F309FB">
      <w:pPr>
        <w:ind w:left="721" w:hanging="555"/>
        <w:rPr>
          <w:rFonts w:cs="Arial"/>
          <w:color w:val="000000"/>
        </w:rPr>
      </w:pPr>
      <w:proofErr w:type="spellStart"/>
      <w:r w:rsidRPr="00F309FB">
        <w:rPr>
          <w:rFonts w:cs="Arial"/>
          <w:color w:val="000000"/>
        </w:rPr>
        <w:t>Pariser</w:t>
      </w:r>
      <w:proofErr w:type="spellEnd"/>
      <w:r w:rsidRPr="00F309FB">
        <w:rPr>
          <w:rFonts w:cs="Arial"/>
          <w:color w:val="000000"/>
        </w:rPr>
        <w:t xml:space="preserve">, E. (2011). The </w:t>
      </w:r>
      <w:proofErr w:type="spellStart"/>
      <w:r w:rsidRPr="00F309FB">
        <w:rPr>
          <w:rFonts w:cs="Arial"/>
          <w:color w:val="000000"/>
        </w:rPr>
        <w:t>filter</w:t>
      </w:r>
      <w:proofErr w:type="spellEnd"/>
      <w:r w:rsidRPr="00F309FB">
        <w:rPr>
          <w:rFonts w:cs="Arial"/>
          <w:color w:val="000000"/>
        </w:rPr>
        <w:t xml:space="preserve"> </w:t>
      </w:r>
      <w:proofErr w:type="spellStart"/>
      <w:r w:rsidRPr="00F309FB">
        <w:rPr>
          <w:rFonts w:cs="Arial"/>
          <w:color w:val="000000"/>
        </w:rPr>
        <w:t>bubble</w:t>
      </w:r>
      <w:proofErr w:type="spellEnd"/>
      <w:r w:rsidRPr="00F309FB">
        <w:rPr>
          <w:rFonts w:cs="Arial"/>
          <w:color w:val="000000"/>
        </w:rPr>
        <w:t xml:space="preserve">: </w:t>
      </w:r>
      <w:proofErr w:type="spellStart"/>
      <w:r w:rsidRPr="00F309FB">
        <w:rPr>
          <w:rFonts w:cs="Arial"/>
          <w:color w:val="000000"/>
        </w:rPr>
        <w:t>What</w:t>
      </w:r>
      <w:proofErr w:type="spellEnd"/>
      <w:r w:rsidRPr="00F309FB">
        <w:rPr>
          <w:rFonts w:cs="Arial"/>
          <w:color w:val="000000"/>
        </w:rPr>
        <w:t xml:space="preserve"> the Internet </w:t>
      </w:r>
      <w:proofErr w:type="spellStart"/>
      <w:r w:rsidRPr="00F309FB">
        <w:rPr>
          <w:rFonts w:cs="Arial"/>
          <w:color w:val="000000"/>
        </w:rPr>
        <w:t>is</w:t>
      </w:r>
      <w:proofErr w:type="spellEnd"/>
      <w:r w:rsidRPr="00F309FB">
        <w:rPr>
          <w:rFonts w:cs="Arial"/>
          <w:color w:val="000000"/>
        </w:rPr>
        <w:t xml:space="preserve"> </w:t>
      </w:r>
      <w:proofErr w:type="spellStart"/>
      <w:r w:rsidRPr="00F309FB">
        <w:rPr>
          <w:rFonts w:cs="Arial"/>
          <w:color w:val="000000"/>
        </w:rPr>
        <w:t>hiding</w:t>
      </w:r>
      <w:proofErr w:type="spellEnd"/>
      <w:r w:rsidRPr="00F309FB">
        <w:rPr>
          <w:rFonts w:cs="Arial"/>
          <w:color w:val="000000"/>
        </w:rPr>
        <w:t xml:space="preserve"> </w:t>
      </w:r>
      <w:proofErr w:type="spellStart"/>
      <w:r w:rsidRPr="00F309FB">
        <w:rPr>
          <w:rFonts w:cs="Arial"/>
          <w:color w:val="000000"/>
        </w:rPr>
        <w:t>from</w:t>
      </w:r>
      <w:proofErr w:type="spellEnd"/>
      <w:r w:rsidRPr="00F309FB">
        <w:rPr>
          <w:rFonts w:cs="Arial"/>
          <w:color w:val="000000"/>
        </w:rPr>
        <w:t xml:space="preserve"> </w:t>
      </w:r>
      <w:proofErr w:type="spellStart"/>
      <w:r w:rsidRPr="00F309FB">
        <w:rPr>
          <w:rFonts w:cs="Arial"/>
          <w:color w:val="000000"/>
        </w:rPr>
        <w:t>you</w:t>
      </w:r>
      <w:proofErr w:type="spellEnd"/>
      <w:r w:rsidRPr="00F309FB">
        <w:rPr>
          <w:rFonts w:cs="Arial"/>
          <w:color w:val="000000"/>
        </w:rPr>
        <w:t xml:space="preserve">. </w:t>
      </w:r>
      <w:proofErr w:type="spellStart"/>
      <w:r w:rsidRPr="00F309FB">
        <w:rPr>
          <w:rFonts w:cs="Arial"/>
          <w:color w:val="000000"/>
        </w:rPr>
        <w:t>penguin</w:t>
      </w:r>
      <w:proofErr w:type="spellEnd"/>
      <w:r w:rsidRPr="00F309FB">
        <w:rPr>
          <w:rFonts w:cs="Arial"/>
          <w:color w:val="000000"/>
        </w:rPr>
        <w:t xml:space="preserve"> UK.</w:t>
      </w:r>
    </w:p>
    <w:p w14:paraId="613AC7CA" w14:textId="77777777" w:rsidR="00F309FB" w:rsidRPr="00F309FB" w:rsidRDefault="00F309FB" w:rsidP="00F309FB">
      <w:pPr>
        <w:ind w:left="721" w:hanging="555"/>
        <w:rPr>
          <w:rFonts w:cs="Arial"/>
          <w:color w:val="000000"/>
        </w:rPr>
      </w:pPr>
      <w:proofErr w:type="spellStart"/>
      <w:r w:rsidRPr="00F309FB">
        <w:rPr>
          <w:rFonts w:cs="Arial"/>
          <w:color w:val="000000"/>
        </w:rPr>
        <w:t>Roh</w:t>
      </w:r>
      <w:proofErr w:type="spellEnd"/>
      <w:r w:rsidRPr="00F309FB">
        <w:rPr>
          <w:rFonts w:cs="Arial"/>
          <w:color w:val="000000"/>
        </w:rPr>
        <w:t xml:space="preserve">, S. (2017). </w:t>
      </w:r>
      <w:proofErr w:type="spellStart"/>
      <w:r w:rsidRPr="00F309FB">
        <w:rPr>
          <w:rFonts w:cs="Arial"/>
          <w:color w:val="000000"/>
        </w:rPr>
        <w:t>Examining</w:t>
      </w:r>
      <w:proofErr w:type="spellEnd"/>
      <w:r w:rsidRPr="00F309FB">
        <w:rPr>
          <w:rFonts w:cs="Arial"/>
          <w:color w:val="000000"/>
        </w:rPr>
        <w:t xml:space="preserve"> the </w:t>
      </w:r>
      <w:proofErr w:type="spellStart"/>
      <w:r w:rsidRPr="00F309FB">
        <w:rPr>
          <w:rFonts w:cs="Arial"/>
          <w:color w:val="000000"/>
        </w:rPr>
        <w:t>paracrisis</w:t>
      </w:r>
      <w:proofErr w:type="spellEnd"/>
      <w:r w:rsidRPr="00F309FB">
        <w:rPr>
          <w:rFonts w:cs="Arial"/>
          <w:color w:val="000000"/>
        </w:rPr>
        <w:t xml:space="preserve"> online: The </w:t>
      </w:r>
      <w:proofErr w:type="spellStart"/>
      <w:r w:rsidRPr="00F309FB">
        <w:rPr>
          <w:rFonts w:cs="Arial"/>
          <w:color w:val="000000"/>
        </w:rPr>
        <w:t>effects</w:t>
      </w:r>
      <w:proofErr w:type="spellEnd"/>
      <w:r w:rsidRPr="00F309FB">
        <w:rPr>
          <w:rFonts w:cs="Arial"/>
          <w:color w:val="000000"/>
        </w:rPr>
        <w:t xml:space="preserve"> of message source, </w:t>
      </w:r>
      <w:proofErr w:type="spellStart"/>
      <w:r w:rsidRPr="00F309FB">
        <w:rPr>
          <w:rFonts w:cs="Arial"/>
          <w:color w:val="000000"/>
        </w:rPr>
        <w:t>response</w:t>
      </w:r>
      <w:proofErr w:type="spellEnd"/>
      <w:r w:rsidRPr="00F309FB">
        <w:rPr>
          <w:rFonts w:cs="Arial"/>
          <w:color w:val="000000"/>
        </w:rPr>
        <w:t xml:space="preserve"> </w:t>
      </w:r>
      <w:proofErr w:type="spellStart"/>
      <w:r w:rsidRPr="00F309FB">
        <w:rPr>
          <w:rFonts w:cs="Arial"/>
          <w:color w:val="000000"/>
        </w:rPr>
        <w:t>strategies</w:t>
      </w:r>
      <w:proofErr w:type="spellEnd"/>
      <w:r w:rsidRPr="00F309FB">
        <w:rPr>
          <w:rFonts w:cs="Arial"/>
          <w:color w:val="000000"/>
        </w:rPr>
        <w:t xml:space="preserve"> and social </w:t>
      </w:r>
      <w:proofErr w:type="spellStart"/>
      <w:r w:rsidRPr="00F309FB">
        <w:rPr>
          <w:rFonts w:cs="Arial"/>
          <w:color w:val="000000"/>
        </w:rPr>
        <w:t>vigilantism</w:t>
      </w:r>
      <w:proofErr w:type="spellEnd"/>
      <w:r w:rsidRPr="00F309FB">
        <w:rPr>
          <w:rFonts w:cs="Arial"/>
          <w:color w:val="000000"/>
        </w:rPr>
        <w:t xml:space="preserve"> on public </w:t>
      </w:r>
      <w:proofErr w:type="spellStart"/>
      <w:r w:rsidRPr="00F309FB">
        <w:rPr>
          <w:rFonts w:cs="Arial"/>
          <w:color w:val="000000"/>
        </w:rPr>
        <w:t>responses</w:t>
      </w:r>
      <w:proofErr w:type="spellEnd"/>
      <w:r w:rsidRPr="00F309FB">
        <w:rPr>
          <w:rFonts w:cs="Arial"/>
          <w:color w:val="000000"/>
        </w:rPr>
        <w:t xml:space="preserve">. Public Relations </w:t>
      </w:r>
      <w:proofErr w:type="spellStart"/>
      <w:r w:rsidRPr="00F309FB">
        <w:rPr>
          <w:rFonts w:cs="Arial"/>
          <w:color w:val="000000"/>
        </w:rPr>
        <w:t>Review</w:t>
      </w:r>
      <w:proofErr w:type="spellEnd"/>
      <w:r w:rsidRPr="00F309FB">
        <w:rPr>
          <w:rFonts w:cs="Arial"/>
          <w:color w:val="000000"/>
        </w:rPr>
        <w:t>, 43(3), 587–596.</w:t>
      </w:r>
    </w:p>
    <w:p w14:paraId="270F79E2" w14:textId="77777777" w:rsidR="00F309FB" w:rsidRPr="00F309FB" w:rsidRDefault="00F309FB" w:rsidP="00F309FB">
      <w:pPr>
        <w:ind w:left="721" w:hanging="555"/>
        <w:rPr>
          <w:rFonts w:cs="Arial"/>
          <w:color w:val="000000"/>
        </w:rPr>
      </w:pPr>
      <w:proofErr w:type="spellStart"/>
      <w:r w:rsidRPr="00F309FB">
        <w:rPr>
          <w:rFonts w:cs="Arial"/>
          <w:color w:val="000000"/>
        </w:rPr>
        <w:t>Shao</w:t>
      </w:r>
      <w:proofErr w:type="spellEnd"/>
      <w:r w:rsidRPr="00F309FB">
        <w:rPr>
          <w:rFonts w:cs="Arial"/>
          <w:color w:val="000000"/>
        </w:rPr>
        <w:t xml:space="preserve">, C., </w:t>
      </w:r>
      <w:proofErr w:type="spellStart"/>
      <w:r w:rsidRPr="00F309FB">
        <w:rPr>
          <w:rFonts w:cs="Arial"/>
          <w:color w:val="000000"/>
        </w:rPr>
        <w:t>Ciampaglia</w:t>
      </w:r>
      <w:proofErr w:type="spellEnd"/>
      <w:r w:rsidRPr="00F309FB">
        <w:rPr>
          <w:rFonts w:cs="Arial"/>
          <w:color w:val="000000"/>
        </w:rPr>
        <w:t xml:space="preserve">, G. L., </w:t>
      </w:r>
      <w:proofErr w:type="spellStart"/>
      <w:r w:rsidRPr="00F309FB">
        <w:rPr>
          <w:rFonts w:cs="Arial"/>
          <w:color w:val="000000"/>
        </w:rPr>
        <w:t>Varol</w:t>
      </w:r>
      <w:proofErr w:type="spellEnd"/>
      <w:r w:rsidRPr="00F309FB">
        <w:rPr>
          <w:rFonts w:cs="Arial"/>
          <w:color w:val="000000"/>
        </w:rPr>
        <w:t xml:space="preserve">, O., Yang, K. C., </w:t>
      </w:r>
      <w:proofErr w:type="spellStart"/>
      <w:r w:rsidRPr="00F309FB">
        <w:rPr>
          <w:rFonts w:cs="Arial"/>
          <w:color w:val="000000"/>
        </w:rPr>
        <w:t>Flammini</w:t>
      </w:r>
      <w:proofErr w:type="spellEnd"/>
      <w:r w:rsidRPr="00F309FB">
        <w:rPr>
          <w:rFonts w:cs="Arial"/>
          <w:color w:val="000000"/>
        </w:rPr>
        <w:t xml:space="preserve">, A., &amp; </w:t>
      </w:r>
      <w:proofErr w:type="spellStart"/>
      <w:r w:rsidRPr="00F309FB">
        <w:rPr>
          <w:rFonts w:cs="Arial"/>
          <w:color w:val="000000"/>
        </w:rPr>
        <w:t>Menczer</w:t>
      </w:r>
      <w:proofErr w:type="spellEnd"/>
      <w:r w:rsidRPr="00F309FB">
        <w:rPr>
          <w:rFonts w:cs="Arial"/>
          <w:color w:val="000000"/>
        </w:rPr>
        <w:t xml:space="preserve">, F. (2018). The spread of </w:t>
      </w:r>
      <w:proofErr w:type="spellStart"/>
      <w:r w:rsidRPr="00F309FB">
        <w:rPr>
          <w:rFonts w:cs="Arial"/>
          <w:color w:val="000000"/>
        </w:rPr>
        <w:t>low-credibility</w:t>
      </w:r>
      <w:proofErr w:type="spellEnd"/>
      <w:r w:rsidRPr="00F309FB">
        <w:rPr>
          <w:rFonts w:cs="Arial"/>
          <w:color w:val="000000"/>
        </w:rPr>
        <w:t xml:space="preserve"> content by social bots. Nature communications, 9(1), 4787.</w:t>
      </w:r>
    </w:p>
    <w:p w14:paraId="17C3A35A" w14:textId="77777777" w:rsidR="00F309FB" w:rsidRPr="00F309FB" w:rsidRDefault="00F309FB" w:rsidP="00F309FB">
      <w:pPr>
        <w:ind w:left="721" w:hanging="555"/>
        <w:rPr>
          <w:rFonts w:cs="Arial"/>
          <w:color w:val="000000"/>
        </w:rPr>
      </w:pPr>
      <w:r w:rsidRPr="00F309FB">
        <w:rPr>
          <w:rFonts w:cs="Arial"/>
          <w:color w:val="000000"/>
        </w:rPr>
        <w:t xml:space="preserve">Szabo, S., &amp; Webster, J. (2021). </w:t>
      </w:r>
      <w:proofErr w:type="spellStart"/>
      <w:r w:rsidRPr="00F309FB">
        <w:rPr>
          <w:rFonts w:cs="Arial"/>
          <w:color w:val="000000"/>
        </w:rPr>
        <w:t>Perceived</w:t>
      </w:r>
      <w:proofErr w:type="spellEnd"/>
      <w:r w:rsidRPr="00F309FB">
        <w:rPr>
          <w:rFonts w:cs="Arial"/>
          <w:color w:val="000000"/>
        </w:rPr>
        <w:t xml:space="preserve"> greenwashing: the </w:t>
      </w:r>
      <w:proofErr w:type="spellStart"/>
      <w:r w:rsidRPr="00F309FB">
        <w:rPr>
          <w:rFonts w:cs="Arial"/>
          <w:color w:val="000000"/>
        </w:rPr>
        <w:t>effects</w:t>
      </w:r>
      <w:proofErr w:type="spellEnd"/>
      <w:r w:rsidRPr="00F309FB">
        <w:rPr>
          <w:rFonts w:cs="Arial"/>
          <w:color w:val="000000"/>
        </w:rPr>
        <w:t xml:space="preserve"> of green marketing on </w:t>
      </w:r>
      <w:proofErr w:type="spellStart"/>
      <w:r w:rsidRPr="00F309FB">
        <w:rPr>
          <w:rFonts w:cs="Arial"/>
          <w:color w:val="000000"/>
        </w:rPr>
        <w:t>environmental</w:t>
      </w:r>
      <w:proofErr w:type="spellEnd"/>
      <w:r w:rsidRPr="00F309FB">
        <w:rPr>
          <w:rFonts w:cs="Arial"/>
          <w:color w:val="000000"/>
        </w:rPr>
        <w:t xml:space="preserve"> and </w:t>
      </w:r>
      <w:proofErr w:type="spellStart"/>
      <w:r w:rsidRPr="00F309FB">
        <w:rPr>
          <w:rFonts w:cs="Arial"/>
          <w:color w:val="000000"/>
        </w:rPr>
        <w:t>product</w:t>
      </w:r>
      <w:proofErr w:type="spellEnd"/>
      <w:r w:rsidRPr="00F309FB">
        <w:rPr>
          <w:rFonts w:cs="Arial"/>
          <w:color w:val="000000"/>
        </w:rPr>
        <w:t xml:space="preserve"> perceptions. Journal of business </w:t>
      </w:r>
      <w:proofErr w:type="spellStart"/>
      <w:r w:rsidRPr="00F309FB">
        <w:rPr>
          <w:rFonts w:cs="Arial"/>
          <w:color w:val="000000"/>
        </w:rPr>
        <w:t>ethics</w:t>
      </w:r>
      <w:proofErr w:type="spellEnd"/>
      <w:r w:rsidRPr="00F309FB">
        <w:rPr>
          <w:rFonts w:cs="Arial"/>
          <w:color w:val="000000"/>
        </w:rPr>
        <w:t>, 171(4), 719-739.</w:t>
      </w:r>
    </w:p>
    <w:p w14:paraId="475E7BC7" w14:textId="77777777" w:rsidR="00F309FB" w:rsidRPr="00F309FB" w:rsidRDefault="00F309FB" w:rsidP="00F309FB">
      <w:pPr>
        <w:ind w:left="721" w:hanging="555"/>
        <w:rPr>
          <w:rFonts w:cs="Arial"/>
          <w:color w:val="000000"/>
        </w:rPr>
      </w:pPr>
      <w:proofErr w:type="spellStart"/>
      <w:r w:rsidRPr="00F309FB">
        <w:rPr>
          <w:rFonts w:cs="Arial"/>
          <w:color w:val="000000"/>
        </w:rPr>
        <w:t>Taillard</w:t>
      </w:r>
      <w:proofErr w:type="spellEnd"/>
      <w:r w:rsidRPr="00F309FB">
        <w:rPr>
          <w:rFonts w:cs="Arial"/>
          <w:color w:val="000000"/>
        </w:rPr>
        <w:t xml:space="preserve">, A. (2025). Les entreprises face aux </w:t>
      </w:r>
      <w:proofErr w:type="spellStart"/>
      <w:r w:rsidRPr="00F309FB">
        <w:rPr>
          <w:rFonts w:cs="Arial"/>
          <w:color w:val="000000"/>
        </w:rPr>
        <w:t>paracrises</w:t>
      </w:r>
      <w:proofErr w:type="spellEnd"/>
      <w:r w:rsidRPr="00F309FB">
        <w:rPr>
          <w:rFonts w:cs="Arial"/>
          <w:color w:val="000000"/>
        </w:rPr>
        <w:t xml:space="preserve"> de désinformation : 3 études de cas en communication organisationnelle. Thèse de doctorat, Université Bordeaux Montaigne.</w:t>
      </w:r>
    </w:p>
    <w:p w14:paraId="0EBF5118" w14:textId="77777777" w:rsidR="00F309FB" w:rsidRPr="00F309FB" w:rsidRDefault="00F309FB" w:rsidP="00F309FB">
      <w:pPr>
        <w:ind w:left="721" w:hanging="555"/>
        <w:rPr>
          <w:rFonts w:cs="Arial"/>
          <w:color w:val="000000"/>
        </w:rPr>
      </w:pPr>
      <w:proofErr w:type="spellStart"/>
      <w:r w:rsidRPr="00F309FB">
        <w:rPr>
          <w:rFonts w:cs="Arial"/>
          <w:color w:val="000000"/>
        </w:rPr>
        <w:t>Wardle</w:t>
      </w:r>
      <w:proofErr w:type="spellEnd"/>
      <w:r w:rsidRPr="00F309FB">
        <w:rPr>
          <w:rFonts w:cs="Arial"/>
          <w:color w:val="000000"/>
        </w:rPr>
        <w:t xml:space="preserve">, C., &amp; </w:t>
      </w:r>
      <w:proofErr w:type="spellStart"/>
      <w:r w:rsidRPr="00F309FB">
        <w:rPr>
          <w:rFonts w:cs="Arial"/>
          <w:color w:val="000000"/>
        </w:rPr>
        <w:t>Derakhshan</w:t>
      </w:r>
      <w:proofErr w:type="spellEnd"/>
      <w:r w:rsidRPr="00F309FB">
        <w:rPr>
          <w:rFonts w:cs="Arial"/>
          <w:color w:val="000000"/>
        </w:rPr>
        <w:t xml:space="preserve">, H. (2018). "Information </w:t>
      </w:r>
      <w:proofErr w:type="spellStart"/>
      <w:r w:rsidRPr="00F309FB">
        <w:rPr>
          <w:rFonts w:cs="Arial"/>
          <w:color w:val="000000"/>
        </w:rPr>
        <w:t>disorder</w:t>
      </w:r>
      <w:proofErr w:type="spellEnd"/>
      <w:r w:rsidRPr="00F309FB">
        <w:rPr>
          <w:rFonts w:cs="Arial"/>
          <w:color w:val="000000"/>
        </w:rPr>
        <w:t xml:space="preserve">: </w:t>
      </w:r>
      <w:proofErr w:type="spellStart"/>
      <w:r w:rsidRPr="00F309FB">
        <w:rPr>
          <w:rFonts w:cs="Arial"/>
          <w:color w:val="000000"/>
        </w:rPr>
        <w:t>Toward</w:t>
      </w:r>
      <w:proofErr w:type="spellEnd"/>
      <w:r w:rsidRPr="00F309FB">
        <w:rPr>
          <w:rFonts w:cs="Arial"/>
          <w:color w:val="000000"/>
        </w:rPr>
        <w:t xml:space="preserve"> an </w:t>
      </w:r>
      <w:proofErr w:type="spellStart"/>
      <w:r w:rsidRPr="00F309FB">
        <w:rPr>
          <w:rFonts w:cs="Arial"/>
          <w:color w:val="000000"/>
        </w:rPr>
        <w:t>interdisciplinary</w:t>
      </w:r>
      <w:proofErr w:type="spellEnd"/>
      <w:r w:rsidRPr="00F309FB">
        <w:rPr>
          <w:rFonts w:cs="Arial"/>
          <w:color w:val="000000"/>
        </w:rPr>
        <w:t xml:space="preserve"> </w:t>
      </w:r>
      <w:proofErr w:type="spellStart"/>
      <w:r w:rsidRPr="00F309FB">
        <w:rPr>
          <w:rFonts w:cs="Arial"/>
          <w:color w:val="000000"/>
        </w:rPr>
        <w:t>framework</w:t>
      </w:r>
      <w:proofErr w:type="spellEnd"/>
      <w:r w:rsidRPr="00F309FB">
        <w:rPr>
          <w:rFonts w:cs="Arial"/>
          <w:color w:val="000000"/>
        </w:rPr>
        <w:t xml:space="preserve"> for </w:t>
      </w:r>
      <w:proofErr w:type="spellStart"/>
      <w:r w:rsidRPr="00F309FB">
        <w:rPr>
          <w:rFonts w:cs="Arial"/>
          <w:color w:val="000000"/>
        </w:rPr>
        <w:t>research</w:t>
      </w:r>
      <w:proofErr w:type="spellEnd"/>
      <w:r w:rsidRPr="00F309FB">
        <w:rPr>
          <w:rFonts w:cs="Arial"/>
          <w:color w:val="000000"/>
        </w:rPr>
        <w:t xml:space="preserve"> and </w:t>
      </w:r>
      <w:proofErr w:type="spellStart"/>
      <w:r w:rsidRPr="00F309FB">
        <w:rPr>
          <w:rFonts w:cs="Arial"/>
          <w:color w:val="000000"/>
        </w:rPr>
        <w:t>policymaking</w:t>
      </w:r>
      <w:proofErr w:type="spellEnd"/>
      <w:r w:rsidRPr="00F309FB">
        <w:rPr>
          <w:rFonts w:cs="Arial"/>
          <w:color w:val="000000"/>
        </w:rPr>
        <w:t>". Council of Europe report.</w:t>
      </w:r>
    </w:p>
    <w:p w14:paraId="5C96CA5A" w14:textId="77777777" w:rsidR="00F309FB" w:rsidRPr="00F309FB" w:rsidRDefault="00F309FB" w:rsidP="00F309FB">
      <w:pPr>
        <w:ind w:left="721" w:hanging="555"/>
      </w:pPr>
      <w:r w:rsidRPr="00F309FB">
        <w:rPr>
          <w:rFonts w:cs="Arial"/>
          <w:color w:val="000000"/>
        </w:rPr>
        <w:t xml:space="preserve">World </w:t>
      </w:r>
      <w:proofErr w:type="spellStart"/>
      <w:r w:rsidRPr="00F309FB">
        <w:rPr>
          <w:rFonts w:cs="Arial"/>
          <w:color w:val="000000"/>
        </w:rPr>
        <w:t>Economic</w:t>
      </w:r>
      <w:proofErr w:type="spellEnd"/>
      <w:r w:rsidRPr="00F309FB">
        <w:rPr>
          <w:rFonts w:cs="Arial"/>
          <w:color w:val="000000"/>
        </w:rPr>
        <w:t xml:space="preserve"> Forum. (2025, </w:t>
      </w:r>
      <w:proofErr w:type="spellStart"/>
      <w:r w:rsidRPr="00F309FB">
        <w:rPr>
          <w:rFonts w:cs="Arial"/>
          <w:color w:val="000000"/>
        </w:rPr>
        <w:t>January</w:t>
      </w:r>
      <w:proofErr w:type="spellEnd"/>
      <w:r w:rsidRPr="00F309FB">
        <w:rPr>
          <w:rFonts w:cs="Arial"/>
          <w:color w:val="000000"/>
        </w:rPr>
        <w:t xml:space="preserve">). The Global Risks Report 2025. Geneva, </w:t>
      </w:r>
      <w:proofErr w:type="spellStart"/>
      <w:r w:rsidRPr="00F309FB">
        <w:rPr>
          <w:rFonts w:cs="Arial"/>
          <w:color w:val="000000"/>
        </w:rPr>
        <w:t>Switzerland</w:t>
      </w:r>
      <w:proofErr w:type="spellEnd"/>
      <w:r w:rsidRPr="00F309FB">
        <w:rPr>
          <w:rFonts w:cs="Arial"/>
          <w:color w:val="000000"/>
        </w:rPr>
        <w:t xml:space="preserve">: World </w:t>
      </w:r>
      <w:proofErr w:type="spellStart"/>
      <w:r w:rsidRPr="00F309FB">
        <w:rPr>
          <w:rFonts w:cs="Arial"/>
          <w:color w:val="000000"/>
        </w:rPr>
        <w:t>Economic</w:t>
      </w:r>
      <w:proofErr w:type="spellEnd"/>
      <w:r w:rsidRPr="00F309FB">
        <w:rPr>
          <w:rFonts w:cs="Arial"/>
          <w:color w:val="000000"/>
        </w:rPr>
        <w:t xml:space="preserve"> Forum.</w:t>
      </w:r>
    </w:p>
    <w:p w14:paraId="1FDDC739" w14:textId="77777777" w:rsidR="00F309FB" w:rsidRPr="00F309FB" w:rsidRDefault="00F309FB" w:rsidP="00F309FB">
      <w:pPr>
        <w:spacing w:after="0"/>
        <w:ind w:left="860" w:right="560" w:hanging="420"/>
      </w:pPr>
      <w:r w:rsidRPr="00F309FB">
        <w:rPr>
          <w:rFonts w:cs="Arial"/>
          <w:color w:val="000000"/>
        </w:rPr>
        <w:t xml:space="preserve">Xu, M., Tse, Y. K., Geng, R., Liu, Z., &amp; Potter, A. (2025). Greenwashing and </w:t>
      </w:r>
      <w:proofErr w:type="spellStart"/>
      <w:r w:rsidRPr="00F309FB">
        <w:rPr>
          <w:rFonts w:cs="Arial"/>
          <w:color w:val="000000"/>
        </w:rPr>
        <w:t>market</w:t>
      </w:r>
      <w:proofErr w:type="spellEnd"/>
      <w:r w:rsidRPr="00F309FB">
        <w:rPr>
          <w:rFonts w:cs="Arial"/>
          <w:color w:val="000000"/>
        </w:rPr>
        <w:t xml:space="preserve"> value of </w:t>
      </w:r>
      <w:proofErr w:type="spellStart"/>
      <w:r w:rsidRPr="00F309FB">
        <w:rPr>
          <w:rFonts w:cs="Arial"/>
          <w:color w:val="000000"/>
        </w:rPr>
        <w:t>firms</w:t>
      </w:r>
      <w:proofErr w:type="spellEnd"/>
      <w:r w:rsidRPr="00F309FB">
        <w:rPr>
          <w:rFonts w:cs="Arial"/>
          <w:color w:val="000000"/>
        </w:rPr>
        <w:t xml:space="preserve">: An </w:t>
      </w:r>
      <w:proofErr w:type="spellStart"/>
      <w:r w:rsidRPr="00F309FB">
        <w:rPr>
          <w:rFonts w:cs="Arial"/>
          <w:color w:val="000000"/>
        </w:rPr>
        <w:t>empirical</w:t>
      </w:r>
      <w:proofErr w:type="spellEnd"/>
      <w:r w:rsidRPr="00F309FB">
        <w:rPr>
          <w:rFonts w:cs="Arial"/>
          <w:color w:val="000000"/>
        </w:rPr>
        <w:t xml:space="preserve"> </w:t>
      </w:r>
      <w:proofErr w:type="spellStart"/>
      <w:r w:rsidRPr="00F309FB">
        <w:rPr>
          <w:rFonts w:cs="Arial"/>
          <w:color w:val="000000"/>
        </w:rPr>
        <w:t>study</w:t>
      </w:r>
      <w:proofErr w:type="spellEnd"/>
      <w:r w:rsidRPr="00F309FB">
        <w:rPr>
          <w:rFonts w:cs="Arial"/>
          <w:color w:val="000000"/>
        </w:rPr>
        <w:t xml:space="preserve">. International Journal of Production </w:t>
      </w:r>
      <w:proofErr w:type="spellStart"/>
      <w:r w:rsidRPr="00F309FB">
        <w:rPr>
          <w:rFonts w:cs="Arial"/>
          <w:color w:val="000000"/>
        </w:rPr>
        <w:t>Economics</w:t>
      </w:r>
      <w:proofErr w:type="spellEnd"/>
      <w:r w:rsidRPr="00F309FB">
        <w:rPr>
          <w:rFonts w:cs="Arial"/>
          <w:color w:val="000000"/>
        </w:rPr>
        <w:t>, 284, 109606.</w:t>
      </w:r>
    </w:p>
    <w:p w14:paraId="1A309819" w14:textId="77777777" w:rsidR="00F309FB" w:rsidRPr="00F309FB" w:rsidRDefault="00F309FB" w:rsidP="00F309FB"/>
    <w:p w14:paraId="3415A45F" w14:textId="23E6DAD5" w:rsidR="000611B3" w:rsidRPr="00FC7539" w:rsidRDefault="000611B3" w:rsidP="00F309FB">
      <w:pPr>
        <w:rPr>
          <w:rFonts w:eastAsia="Calibri"/>
          <w:lang w:val="en-US"/>
        </w:rPr>
      </w:pPr>
    </w:p>
    <w:sectPr w:rsidR="000611B3" w:rsidRPr="00FC7539">
      <w:footerReference w:type="default" r:id="rId13"/>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2739" w14:textId="77777777" w:rsidR="003E0519" w:rsidRDefault="003E0519" w:rsidP="007506DA">
      <w:pPr>
        <w:spacing w:before="0" w:after="0"/>
      </w:pPr>
      <w:r>
        <w:separator/>
      </w:r>
    </w:p>
  </w:endnote>
  <w:endnote w:type="continuationSeparator" w:id="0">
    <w:p w14:paraId="1676804F" w14:textId="77777777" w:rsidR="003E0519" w:rsidRDefault="003E0519" w:rsidP="007506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030575"/>
      <w:docPartObj>
        <w:docPartGallery w:val="Page Numbers (Bottom of Page)"/>
        <w:docPartUnique/>
      </w:docPartObj>
    </w:sdtPr>
    <w:sdtEndPr/>
    <w:sdtContent>
      <w:p w14:paraId="16183D05" w14:textId="3048AD78" w:rsidR="007506DA" w:rsidRDefault="007506DA">
        <w:pPr>
          <w:pStyle w:val="Pieddepage"/>
          <w:jc w:val="right"/>
        </w:pPr>
        <w:r>
          <w:fldChar w:fldCharType="begin"/>
        </w:r>
        <w:r>
          <w:instrText>PAGE   \* MERGEFORMAT</w:instrText>
        </w:r>
        <w:r>
          <w:fldChar w:fldCharType="separate"/>
        </w:r>
        <w:r>
          <w:t>2</w:t>
        </w:r>
        <w:r>
          <w:fldChar w:fldCharType="end"/>
        </w:r>
      </w:p>
    </w:sdtContent>
  </w:sdt>
  <w:p w14:paraId="5AD113B3" w14:textId="77777777" w:rsidR="007506DA" w:rsidRDefault="007506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FEE0" w14:textId="77777777" w:rsidR="003E0519" w:rsidRDefault="003E0519" w:rsidP="007506DA">
      <w:pPr>
        <w:spacing w:before="0" w:after="0"/>
      </w:pPr>
      <w:r>
        <w:separator/>
      </w:r>
    </w:p>
  </w:footnote>
  <w:footnote w:type="continuationSeparator" w:id="0">
    <w:p w14:paraId="412CC86C" w14:textId="77777777" w:rsidR="003E0519" w:rsidRDefault="003E0519" w:rsidP="007506D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9FD"/>
    <w:multiLevelType w:val="hybridMultilevel"/>
    <w:tmpl w:val="11C641A6"/>
    <w:lvl w:ilvl="0" w:tplc="97CA92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C6097"/>
    <w:multiLevelType w:val="multilevel"/>
    <w:tmpl w:val="76B8C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A80241"/>
    <w:multiLevelType w:val="multilevel"/>
    <w:tmpl w:val="57A84B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B4870"/>
    <w:multiLevelType w:val="hybridMultilevel"/>
    <w:tmpl w:val="59908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D74EF8"/>
    <w:multiLevelType w:val="hybridMultilevel"/>
    <w:tmpl w:val="BD8C1A46"/>
    <w:lvl w:ilvl="0" w:tplc="C6A8C442">
      <w:start w:val="35"/>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6264EF"/>
    <w:multiLevelType w:val="multilevel"/>
    <w:tmpl w:val="FFB8F806"/>
    <w:lvl w:ilvl="0">
      <w:start w:val="1"/>
      <w:numFmt w:val="bullet"/>
      <w:lvlText w:val="●"/>
      <w:lvlJc w:val="left"/>
      <w:pPr>
        <w:ind w:left="720" w:hanging="360"/>
      </w:pPr>
      <w:rPr>
        <w:rFonts w:ascii="Arial" w:eastAsia="Arial" w:hAnsi="Arial" w:cs="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2D216D"/>
    <w:multiLevelType w:val="hybridMultilevel"/>
    <w:tmpl w:val="C7B03168"/>
    <w:lvl w:ilvl="0" w:tplc="C0D4F8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313DB"/>
    <w:multiLevelType w:val="hybridMultilevel"/>
    <w:tmpl w:val="D2583580"/>
    <w:lvl w:ilvl="0" w:tplc="97CA92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3D2431B"/>
    <w:multiLevelType w:val="hybridMultilevel"/>
    <w:tmpl w:val="29225834"/>
    <w:lvl w:ilvl="0" w:tplc="C6A8C442">
      <w:start w:val="35"/>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060FB2"/>
    <w:multiLevelType w:val="multilevel"/>
    <w:tmpl w:val="AFD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C3A2B"/>
    <w:multiLevelType w:val="multilevel"/>
    <w:tmpl w:val="93D85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C739AB"/>
    <w:multiLevelType w:val="multilevel"/>
    <w:tmpl w:val="1E7247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610966"/>
    <w:multiLevelType w:val="hybridMultilevel"/>
    <w:tmpl w:val="A1CA6A5E"/>
    <w:lvl w:ilvl="0" w:tplc="97CA92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A77AFE"/>
    <w:multiLevelType w:val="multilevel"/>
    <w:tmpl w:val="6770B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FC09DC"/>
    <w:multiLevelType w:val="hybridMultilevel"/>
    <w:tmpl w:val="F296E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891CDF"/>
    <w:multiLevelType w:val="hybridMultilevel"/>
    <w:tmpl w:val="BA9449DA"/>
    <w:lvl w:ilvl="0" w:tplc="97CA92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B761D4"/>
    <w:multiLevelType w:val="hybridMultilevel"/>
    <w:tmpl w:val="B5200756"/>
    <w:lvl w:ilvl="0" w:tplc="97CA92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C0C2354"/>
    <w:multiLevelType w:val="hybridMultilevel"/>
    <w:tmpl w:val="C8DAEA0E"/>
    <w:lvl w:ilvl="0" w:tplc="C6A8C442">
      <w:start w:val="35"/>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11"/>
  </w:num>
  <w:num w:numId="5">
    <w:abstractNumId w:val="13"/>
  </w:num>
  <w:num w:numId="6">
    <w:abstractNumId w:val="2"/>
  </w:num>
  <w:num w:numId="7">
    <w:abstractNumId w:val="14"/>
  </w:num>
  <w:num w:numId="8">
    <w:abstractNumId w:val="16"/>
  </w:num>
  <w:num w:numId="9">
    <w:abstractNumId w:val="7"/>
  </w:num>
  <w:num w:numId="10">
    <w:abstractNumId w:val="15"/>
  </w:num>
  <w:num w:numId="11">
    <w:abstractNumId w:val="17"/>
  </w:num>
  <w:num w:numId="12">
    <w:abstractNumId w:val="12"/>
  </w:num>
  <w:num w:numId="13">
    <w:abstractNumId w:val="0"/>
  </w:num>
  <w:num w:numId="14">
    <w:abstractNumId w:val="9"/>
  </w:num>
  <w:num w:numId="15">
    <w:abstractNumId w:val="3"/>
  </w:num>
  <w:num w:numId="16">
    <w:abstractNumId w:val="6"/>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B3"/>
    <w:rsid w:val="00055F01"/>
    <w:rsid w:val="000611B3"/>
    <w:rsid w:val="00161F0C"/>
    <w:rsid w:val="00170F0C"/>
    <w:rsid w:val="0034406C"/>
    <w:rsid w:val="003E0519"/>
    <w:rsid w:val="00560548"/>
    <w:rsid w:val="00574794"/>
    <w:rsid w:val="00744DAE"/>
    <w:rsid w:val="007506DA"/>
    <w:rsid w:val="00783470"/>
    <w:rsid w:val="0095528F"/>
    <w:rsid w:val="00A2311B"/>
    <w:rsid w:val="00A53747"/>
    <w:rsid w:val="00AE3E8E"/>
    <w:rsid w:val="00B56798"/>
    <w:rsid w:val="00B577F9"/>
    <w:rsid w:val="00B706CC"/>
    <w:rsid w:val="00C70828"/>
    <w:rsid w:val="00CF765E"/>
    <w:rsid w:val="00D832EF"/>
    <w:rsid w:val="00DD2AAD"/>
    <w:rsid w:val="00DF553D"/>
    <w:rsid w:val="00E179F4"/>
    <w:rsid w:val="00E96615"/>
    <w:rsid w:val="00F10324"/>
    <w:rsid w:val="00F23F70"/>
    <w:rsid w:val="00F309FB"/>
    <w:rsid w:val="00FC75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3ACA"/>
  <w15:docId w15:val="{A10A78DA-FF6B-4528-A617-09DB05F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70"/>
    <w:pPr>
      <w:spacing w:before="240" w:after="240"/>
      <w:jc w:val="both"/>
    </w:pPr>
    <w:rPr>
      <w:rFonts w:ascii="Garamond" w:hAnsi="Garamond"/>
    </w:rPr>
  </w:style>
  <w:style w:type="paragraph" w:styleId="Titre1">
    <w:name w:val="heading 1"/>
    <w:basedOn w:val="Normal"/>
    <w:next w:val="Normal"/>
    <w:uiPriority w:val="9"/>
    <w:qFormat/>
    <w:pPr>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Policepardfaut"/>
    <w:rsid w:val="00FC7539"/>
  </w:style>
  <w:style w:type="character" w:styleId="Lienhypertexte">
    <w:name w:val="Hyperlink"/>
    <w:basedOn w:val="Policepardfaut"/>
    <w:uiPriority w:val="99"/>
    <w:unhideWhenUsed/>
    <w:rsid w:val="00FC7539"/>
    <w:rPr>
      <w:color w:val="0000FF"/>
      <w:u w:val="single"/>
    </w:rPr>
  </w:style>
  <w:style w:type="paragraph" w:styleId="Paragraphedeliste">
    <w:name w:val="List Paragraph"/>
    <w:basedOn w:val="Normal"/>
    <w:uiPriority w:val="34"/>
    <w:qFormat/>
    <w:rsid w:val="00F23F70"/>
    <w:pPr>
      <w:ind w:left="720"/>
      <w:contextualSpacing/>
    </w:pPr>
  </w:style>
  <w:style w:type="character" w:styleId="Mentionnonrsolue">
    <w:name w:val="Unresolved Mention"/>
    <w:basedOn w:val="Policepardfaut"/>
    <w:uiPriority w:val="99"/>
    <w:semiHidden/>
    <w:unhideWhenUsed/>
    <w:rsid w:val="007506DA"/>
    <w:rPr>
      <w:color w:val="605E5C"/>
      <w:shd w:val="clear" w:color="auto" w:fill="E1DFDD"/>
    </w:rPr>
  </w:style>
  <w:style w:type="paragraph" w:styleId="En-tte">
    <w:name w:val="header"/>
    <w:basedOn w:val="Normal"/>
    <w:link w:val="En-tteCar"/>
    <w:uiPriority w:val="99"/>
    <w:unhideWhenUsed/>
    <w:rsid w:val="007506DA"/>
    <w:pPr>
      <w:tabs>
        <w:tab w:val="center" w:pos="4536"/>
        <w:tab w:val="right" w:pos="9072"/>
      </w:tabs>
      <w:spacing w:before="0" w:after="0"/>
    </w:pPr>
  </w:style>
  <w:style w:type="character" w:customStyle="1" w:styleId="En-tteCar">
    <w:name w:val="En-tête Car"/>
    <w:basedOn w:val="Policepardfaut"/>
    <w:link w:val="En-tte"/>
    <w:uiPriority w:val="99"/>
    <w:rsid w:val="007506DA"/>
    <w:rPr>
      <w:rFonts w:ascii="Garamond" w:hAnsi="Garamond"/>
    </w:rPr>
  </w:style>
  <w:style w:type="paragraph" w:styleId="Pieddepage">
    <w:name w:val="footer"/>
    <w:basedOn w:val="Normal"/>
    <w:link w:val="PieddepageCar"/>
    <w:uiPriority w:val="99"/>
    <w:unhideWhenUsed/>
    <w:rsid w:val="007506DA"/>
    <w:pPr>
      <w:tabs>
        <w:tab w:val="center" w:pos="4536"/>
        <w:tab w:val="right" w:pos="9072"/>
      </w:tabs>
      <w:spacing w:before="0" w:after="0"/>
    </w:pPr>
  </w:style>
  <w:style w:type="character" w:customStyle="1" w:styleId="PieddepageCar">
    <w:name w:val="Pied de page Car"/>
    <w:basedOn w:val="Policepardfaut"/>
    <w:link w:val="Pieddepage"/>
    <w:uiPriority w:val="99"/>
    <w:rsid w:val="007506DA"/>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12661">
      <w:bodyDiv w:val="1"/>
      <w:marLeft w:val="0"/>
      <w:marRight w:val="0"/>
      <w:marTop w:val="0"/>
      <w:marBottom w:val="0"/>
      <w:divBdr>
        <w:top w:val="none" w:sz="0" w:space="0" w:color="auto"/>
        <w:left w:val="none" w:sz="0" w:space="0" w:color="auto"/>
        <w:bottom w:val="none" w:sz="0" w:space="0" w:color="auto"/>
        <w:right w:val="none" w:sz="0" w:space="0" w:color="auto"/>
      </w:divBdr>
      <w:divsChild>
        <w:div w:id="73886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517873">
              <w:marLeft w:val="0"/>
              <w:marRight w:val="0"/>
              <w:marTop w:val="0"/>
              <w:marBottom w:val="0"/>
              <w:divBdr>
                <w:top w:val="none" w:sz="0" w:space="0" w:color="auto"/>
                <w:left w:val="none" w:sz="0" w:space="0" w:color="auto"/>
                <w:bottom w:val="none" w:sz="0" w:space="0" w:color="auto"/>
                <w:right w:val="none" w:sz="0" w:space="0" w:color="auto"/>
              </w:divBdr>
              <w:divsChild>
                <w:div w:id="1723096548">
                  <w:marLeft w:val="0"/>
                  <w:marRight w:val="0"/>
                  <w:marTop w:val="0"/>
                  <w:marBottom w:val="0"/>
                  <w:divBdr>
                    <w:top w:val="none" w:sz="0" w:space="0" w:color="auto"/>
                    <w:left w:val="none" w:sz="0" w:space="0" w:color="auto"/>
                    <w:bottom w:val="none" w:sz="0" w:space="0" w:color="auto"/>
                    <w:right w:val="none" w:sz="0" w:space="0" w:color="auto"/>
                  </w:divBdr>
                  <w:divsChild>
                    <w:div w:id="417753148">
                      <w:marLeft w:val="0"/>
                      <w:marRight w:val="0"/>
                      <w:marTop w:val="0"/>
                      <w:marBottom w:val="0"/>
                      <w:divBdr>
                        <w:top w:val="none" w:sz="0" w:space="0" w:color="auto"/>
                        <w:left w:val="none" w:sz="0" w:space="0" w:color="auto"/>
                        <w:bottom w:val="none" w:sz="0" w:space="0" w:color="auto"/>
                        <w:right w:val="none" w:sz="0" w:space="0" w:color="auto"/>
                      </w:divBdr>
                      <w:divsChild>
                        <w:div w:id="558253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ues.u-bordeaux-montaigne.fr/cometorg/inde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revues.u-bordeaux-montaigne.fr/cometorg/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openedition.org/communicationorganisation/59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ues.u-bordeaux-montaigne.fr/cometorg/about/submissions" TargetMode="External"/><Relationship Id="rId4" Type="http://schemas.openxmlformats.org/officeDocument/2006/relationships/webSettings" Target="webSettings.xml"/><Relationship Id="rId9" Type="http://schemas.openxmlformats.org/officeDocument/2006/relationships/hyperlink" Target="https://revues.u-bordeaux-montaigne.fr/cometorg/about/submi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3888</Words>
  <Characters>21384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Laborde</dc:creator>
  <cp:keywords/>
  <dc:description/>
  <cp:lastModifiedBy>Claire D'Hennezel</cp:lastModifiedBy>
  <cp:revision>4</cp:revision>
  <dcterms:created xsi:type="dcterms:W3CDTF">2025-12-01T17:03:00Z</dcterms:created>
  <dcterms:modified xsi:type="dcterms:W3CDTF">2025-12-04T08:13:00Z</dcterms:modified>
</cp:coreProperties>
</file>