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6F342" w14:textId="77777777" w:rsidR="00A00081" w:rsidRPr="00DB6E02" w:rsidRDefault="00A00081">
      <w:pPr>
        <w:rPr>
          <w:color w:val="000000" w:themeColor="text1"/>
        </w:rPr>
      </w:pPr>
    </w:p>
    <w:p w14:paraId="4F1F09D6" w14:textId="77777777" w:rsidR="00A00081" w:rsidRPr="00DB6E02" w:rsidRDefault="006C6C87">
      <w:pPr>
        <w:shd w:val="clear" w:color="auto" w:fill="FFFFFF"/>
        <w:jc w:val="center"/>
        <w:rPr>
          <w:color w:val="000000" w:themeColor="text1"/>
        </w:rPr>
      </w:pPr>
      <w:r w:rsidRPr="00DB6E02">
        <w:rPr>
          <w:noProof/>
          <w:color w:val="000000" w:themeColor="text1"/>
          <w:lang w:val="en-GB" w:eastAsia="en-GB"/>
        </w:rPr>
        <w:drawing>
          <wp:inline distT="0" distB="0" distL="0" distR="0" wp14:anchorId="4998BFD9" wp14:editId="18D14FC7">
            <wp:extent cx="4018935" cy="700549"/>
            <wp:effectExtent l="63500" t="63500" r="121285" b="125095"/>
            <wp:docPr id="1" name="Picture 4"/>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stretch/>
                  </pic:blipFill>
                  <pic:spPr>
                    <a:xfrm>
                      <a:off x="0" y="0"/>
                      <a:ext cx="4067134" cy="708951"/>
                    </a:xfrm>
                    <a:prstGeom prst="rect">
                      <a:avLst/>
                    </a:prstGeom>
                    <a:ln w="38160">
                      <a:solidFill>
                        <a:srgbClr val="000000"/>
                      </a:solidFill>
                      <a:miter/>
                    </a:ln>
                    <a:effectLst>
                      <a:outerShdw blurRad="50800" dist="37674" dir="2700000" algn="tl" rotWithShape="0">
                        <a:srgbClr val="000000">
                          <a:alpha val="43000"/>
                        </a:srgbClr>
                      </a:outerShdw>
                    </a:effectLst>
                  </pic:spPr>
                </pic:pic>
              </a:graphicData>
            </a:graphic>
          </wp:inline>
        </w:drawing>
      </w:r>
    </w:p>
    <w:p w14:paraId="74C92EEE" w14:textId="77777777" w:rsidR="00A00081" w:rsidRPr="00DB6E02" w:rsidRDefault="00A00081">
      <w:pPr>
        <w:jc w:val="center"/>
        <w:rPr>
          <w:b/>
          <w:caps/>
          <w:color w:val="000000" w:themeColor="text1"/>
          <w:sz w:val="40"/>
          <w:szCs w:val="28"/>
        </w:rPr>
      </w:pPr>
    </w:p>
    <w:p w14:paraId="3EC79945" w14:textId="77777777" w:rsidR="006C6C87" w:rsidRPr="00DB6E02" w:rsidRDefault="007C4CC5" w:rsidP="006C6C87">
      <w:pPr>
        <w:shd w:val="clear" w:color="auto" w:fill="FFFFFF"/>
        <w:jc w:val="center"/>
        <w:rPr>
          <w:color w:val="000000" w:themeColor="text1"/>
          <w:sz w:val="28"/>
          <w:szCs w:val="28"/>
          <w:lang w:val="en-US"/>
        </w:rPr>
      </w:pPr>
      <w:hyperlink r:id="rId8">
        <w:r w:rsidR="006C6C87" w:rsidRPr="00DB6E02">
          <w:rPr>
            <w:rStyle w:val="InternetLink"/>
            <w:rFonts w:ascii="Segoe UI Black" w:hAnsi="Segoe UI Black"/>
            <w:b/>
            <w:bCs/>
            <w:caps/>
            <w:color w:val="000000" w:themeColor="text1"/>
            <w:sz w:val="28"/>
            <w:szCs w:val="28"/>
            <w:u w:val="none"/>
            <w:lang w:val="en-US"/>
          </w:rPr>
          <w:t>CALL</w:t>
        </w:r>
      </w:hyperlink>
      <w:r w:rsidR="006C6C87" w:rsidRPr="00DB6E02">
        <w:rPr>
          <w:rStyle w:val="InternetLink"/>
          <w:rFonts w:ascii="Segoe UI Black" w:hAnsi="Segoe UI Black"/>
          <w:b/>
          <w:bCs/>
          <w:caps/>
          <w:color w:val="000000" w:themeColor="text1"/>
          <w:sz w:val="28"/>
          <w:szCs w:val="28"/>
          <w:u w:val="none"/>
          <w:lang w:val="en-US"/>
        </w:rPr>
        <w:t xml:space="preserve"> FOR PAPERS</w:t>
      </w:r>
    </w:p>
    <w:p w14:paraId="0A4FB20E" w14:textId="77777777" w:rsidR="00A00081" w:rsidRPr="00DB6E02" w:rsidRDefault="00A00081">
      <w:pPr>
        <w:jc w:val="center"/>
        <w:rPr>
          <w:rFonts w:ascii="Calibri" w:hAnsi="Calibri" w:cs="Calibri"/>
          <w:color w:val="000000" w:themeColor="text1"/>
          <w:lang w:val="en-US"/>
        </w:rPr>
      </w:pPr>
    </w:p>
    <w:p w14:paraId="2E6E693A" w14:textId="77777777" w:rsidR="00A00081" w:rsidRPr="00DB6E02" w:rsidRDefault="00A00081">
      <w:pPr>
        <w:jc w:val="center"/>
        <w:rPr>
          <w:rFonts w:ascii="Calibri" w:hAnsi="Calibri" w:cs="Calibri"/>
          <w:color w:val="000000" w:themeColor="text1"/>
          <w:lang w:val="en-US"/>
        </w:rPr>
      </w:pPr>
    </w:p>
    <w:p w14:paraId="0D436303" w14:textId="77777777" w:rsidR="00DB6E02" w:rsidRPr="00DB6E02" w:rsidRDefault="00DB6E02" w:rsidP="00DB6E02">
      <w:pPr>
        <w:pStyle w:val="Body"/>
        <w:jc w:val="center"/>
        <w:rPr>
          <w:rFonts w:ascii="Times New Roman" w:eastAsia="Times New Roman" w:hAnsi="Times New Roman" w:cs="Times New Roman"/>
          <w:b/>
          <w:bCs/>
          <w:color w:val="000000" w:themeColor="text1"/>
          <w:sz w:val="36"/>
          <w:szCs w:val="36"/>
          <w:lang w:val="en-GB"/>
        </w:rPr>
      </w:pPr>
      <w:r w:rsidRPr="00DB6E02">
        <w:rPr>
          <w:rFonts w:ascii="Times New Roman" w:hAnsi="Times New Roman"/>
          <w:b/>
          <w:bCs/>
          <w:color w:val="000000" w:themeColor="text1"/>
          <w:sz w:val="36"/>
          <w:szCs w:val="36"/>
          <w:lang w:val="en-GB"/>
        </w:rPr>
        <w:t>Thinking Anti-Gender Movements in Africa</w:t>
      </w:r>
    </w:p>
    <w:p w14:paraId="38964852" w14:textId="77777777" w:rsidR="00A00081" w:rsidRPr="00DB6E02" w:rsidRDefault="00A00081">
      <w:pPr>
        <w:spacing w:after="120"/>
        <w:jc w:val="both"/>
        <w:rPr>
          <w:rFonts w:cs="Calibri"/>
          <w:color w:val="000000" w:themeColor="text1"/>
          <w:lang w:val="en-US"/>
        </w:rPr>
      </w:pPr>
    </w:p>
    <w:p w14:paraId="477CB2B6" w14:textId="77777777" w:rsidR="006C6C87" w:rsidRPr="00DB6E02" w:rsidRDefault="006C6C87">
      <w:pPr>
        <w:spacing w:after="120"/>
        <w:jc w:val="center"/>
        <w:rPr>
          <w:color w:val="000000" w:themeColor="text1"/>
          <w:sz w:val="28"/>
          <w:lang w:val="en-US"/>
        </w:rPr>
      </w:pPr>
      <w:r w:rsidRPr="00DB6E02">
        <w:rPr>
          <w:color w:val="000000" w:themeColor="text1"/>
          <w:sz w:val="28"/>
          <w:lang w:val="en-US"/>
        </w:rPr>
        <w:t xml:space="preserve">Coordinated by  </w:t>
      </w:r>
    </w:p>
    <w:p w14:paraId="0BDC546B" w14:textId="0B50F434" w:rsidR="00DB6E02" w:rsidRPr="00011E92" w:rsidRDefault="00DB6E02" w:rsidP="00DB6E02">
      <w:pPr>
        <w:spacing w:after="120"/>
        <w:jc w:val="center"/>
        <w:rPr>
          <w:rFonts w:ascii="Georgia" w:hAnsi="Georgia"/>
          <w:color w:val="000000" w:themeColor="text1"/>
          <w:lang w:val="en-US"/>
        </w:rPr>
      </w:pPr>
      <w:r w:rsidRPr="00011E92">
        <w:rPr>
          <w:rFonts w:ascii="Georgia" w:hAnsi="Georgia"/>
          <w:b/>
          <w:bCs/>
          <w:color w:val="000000" w:themeColor="text1"/>
          <w:lang w:val="en-GB"/>
        </w:rPr>
        <w:t>Patrick Awondo</w:t>
      </w:r>
      <w:r w:rsidRPr="00011E92">
        <w:rPr>
          <w:rFonts w:ascii="Georgia" w:hAnsi="Georgia"/>
          <w:color w:val="000000" w:themeColor="text1"/>
          <w:lang w:val="en-GB"/>
        </w:rPr>
        <w:t xml:space="preserve"> (</w:t>
      </w:r>
      <w:r w:rsidRPr="00011E92">
        <w:rPr>
          <w:rFonts w:ascii="Georgia" w:hAnsi="Georgia"/>
          <w:color w:val="000000" w:themeColor="text1"/>
          <w:lang w:val="en-US"/>
        </w:rPr>
        <w:t>University of Yaoundé 1- University College of London)</w:t>
      </w:r>
    </w:p>
    <w:p w14:paraId="4E9E4988" w14:textId="6FD31C5F" w:rsidR="00DB6E02" w:rsidRPr="00011E92" w:rsidRDefault="00DB6E02" w:rsidP="00DB6E02">
      <w:pPr>
        <w:pStyle w:val="Body"/>
        <w:spacing w:after="120"/>
        <w:jc w:val="center"/>
        <w:rPr>
          <w:rFonts w:ascii="Georgia" w:hAnsi="Georgia"/>
          <w:color w:val="000000" w:themeColor="text1"/>
          <w:sz w:val="24"/>
          <w:szCs w:val="24"/>
          <w:lang w:val="fr-FR"/>
        </w:rPr>
      </w:pPr>
      <w:r w:rsidRPr="00011E92">
        <w:rPr>
          <w:rFonts w:ascii="Georgia" w:hAnsi="Georgia"/>
          <w:b/>
          <w:bCs/>
          <w:color w:val="000000" w:themeColor="text1"/>
          <w:sz w:val="24"/>
          <w:szCs w:val="24"/>
          <w:lang w:val="fr-FR"/>
        </w:rPr>
        <w:t>Emmanuelle Bouilly</w:t>
      </w:r>
      <w:r w:rsidRPr="00011E92">
        <w:rPr>
          <w:rFonts w:ascii="Georgia" w:hAnsi="Georgia"/>
          <w:color w:val="000000" w:themeColor="text1"/>
          <w:sz w:val="24"/>
          <w:szCs w:val="24"/>
          <w:lang w:val="fr-FR"/>
        </w:rPr>
        <w:t xml:space="preserve"> (Les Afriques dans le monde (LAM) Sciences Po Bordeaux)</w:t>
      </w:r>
    </w:p>
    <w:p w14:paraId="7D9DCAA2" w14:textId="55D5C812" w:rsidR="00DB6E02" w:rsidRPr="00011E92" w:rsidRDefault="00DB6E02" w:rsidP="00DB6E02">
      <w:pPr>
        <w:pStyle w:val="Body"/>
        <w:spacing w:after="120"/>
        <w:jc w:val="center"/>
        <w:rPr>
          <w:rFonts w:ascii="Georgia" w:hAnsi="Georgia"/>
          <w:color w:val="000000" w:themeColor="text1"/>
          <w:sz w:val="24"/>
          <w:szCs w:val="24"/>
          <w:lang w:val="fr-FR"/>
        </w:rPr>
      </w:pPr>
      <w:r w:rsidRPr="00011E92">
        <w:rPr>
          <w:rFonts w:ascii="Georgia" w:hAnsi="Georgia"/>
          <w:b/>
          <w:bCs/>
          <w:color w:val="000000" w:themeColor="text1"/>
          <w:sz w:val="24"/>
          <w:szCs w:val="24"/>
          <w:lang w:val="fr-FR"/>
        </w:rPr>
        <w:t>Marième Ndiaye</w:t>
      </w:r>
      <w:r w:rsidRPr="00011E92">
        <w:rPr>
          <w:rFonts w:ascii="Georgia" w:hAnsi="Georgia"/>
          <w:color w:val="000000" w:themeColor="text1"/>
          <w:sz w:val="24"/>
          <w:szCs w:val="24"/>
          <w:lang w:val="fr-FR"/>
        </w:rPr>
        <w:t xml:space="preserve"> (Les Afriques dans le monde (LAM) Sciences Po Bordeaux)</w:t>
      </w:r>
    </w:p>
    <w:p w14:paraId="0569502E" w14:textId="77777777" w:rsidR="00DB6E02" w:rsidRPr="00DB6E02" w:rsidRDefault="00DB6E02" w:rsidP="00DB6E02">
      <w:pPr>
        <w:pStyle w:val="Body"/>
        <w:jc w:val="center"/>
        <w:rPr>
          <w:rFonts w:ascii="Times New Roman" w:hAnsi="Times New Roman"/>
          <w:color w:val="000000" w:themeColor="text1"/>
          <w:sz w:val="24"/>
          <w:szCs w:val="24"/>
          <w:lang w:val="fr-FR"/>
        </w:rPr>
      </w:pPr>
    </w:p>
    <w:p w14:paraId="19B230DA" w14:textId="2973AD8D" w:rsidR="00DB6E02" w:rsidRPr="00DB6E02" w:rsidRDefault="00DB6E02" w:rsidP="00DB6E02">
      <w:pPr>
        <w:pStyle w:val="Body"/>
        <w:jc w:val="center"/>
        <w:rPr>
          <w:rFonts w:ascii="Times New Roman" w:eastAsia="Times New Roman" w:hAnsi="Times New Roman" w:cs="Times New Roman"/>
          <w:color w:val="000000" w:themeColor="text1"/>
          <w:sz w:val="24"/>
          <w:szCs w:val="24"/>
          <w:lang w:val="fr-FR"/>
        </w:rPr>
      </w:pPr>
    </w:p>
    <w:p w14:paraId="541BC51C" w14:textId="2215D92B" w:rsidR="006C6C87" w:rsidRPr="00DB6E02" w:rsidRDefault="006C6C87">
      <w:pPr>
        <w:spacing w:after="120"/>
        <w:jc w:val="center"/>
        <w:rPr>
          <w:color w:val="000000" w:themeColor="text1"/>
          <w:lang w:val="en-GB"/>
        </w:rPr>
      </w:pPr>
      <w:r w:rsidRPr="00DB6E02">
        <w:rPr>
          <w:color w:val="000000" w:themeColor="text1"/>
          <w:lang w:val="en-GB"/>
        </w:rPr>
        <w:t xml:space="preserve">Deadline for submission of </w:t>
      </w:r>
      <w:r w:rsidR="00DB6E02" w:rsidRPr="00DB6E02">
        <w:rPr>
          <w:color w:val="000000" w:themeColor="text1"/>
          <w:lang w:val="en-GB"/>
        </w:rPr>
        <w:t xml:space="preserve">proposals: </w:t>
      </w:r>
      <w:r w:rsidR="0017382F">
        <w:rPr>
          <w:b/>
          <w:bCs/>
          <w:color w:val="000000" w:themeColor="text1"/>
          <w:lang w:val="en-GB"/>
        </w:rPr>
        <w:t>10</w:t>
      </w:r>
      <w:r w:rsidRPr="00DB6E02">
        <w:rPr>
          <w:b/>
          <w:bCs/>
          <w:color w:val="000000" w:themeColor="text1"/>
          <w:lang w:val="en-GB"/>
        </w:rPr>
        <w:t>/</w:t>
      </w:r>
      <w:r w:rsidR="00DB6E02" w:rsidRPr="00DB6E02">
        <w:rPr>
          <w:b/>
          <w:bCs/>
          <w:color w:val="000000" w:themeColor="text1"/>
          <w:lang w:val="en-GB"/>
        </w:rPr>
        <w:t>09</w:t>
      </w:r>
      <w:r w:rsidRPr="00DB6E02">
        <w:rPr>
          <w:b/>
          <w:bCs/>
          <w:color w:val="000000" w:themeColor="text1"/>
          <w:lang w:val="en-GB"/>
        </w:rPr>
        <w:t>/</w:t>
      </w:r>
      <w:r w:rsidR="00DB6E02" w:rsidRPr="00DB6E02">
        <w:rPr>
          <w:b/>
          <w:bCs/>
          <w:color w:val="000000" w:themeColor="text1"/>
          <w:lang w:val="en-GB"/>
        </w:rPr>
        <w:t>2021</w:t>
      </w:r>
    </w:p>
    <w:p w14:paraId="4865A182" w14:textId="77777777" w:rsidR="00A00081" w:rsidRPr="00DB6E02" w:rsidRDefault="00A00081">
      <w:pPr>
        <w:pBdr>
          <w:bottom w:val="single" w:sz="6" w:space="1" w:color="000000"/>
        </w:pBdr>
        <w:jc w:val="center"/>
        <w:rPr>
          <w:color w:val="000000" w:themeColor="text1"/>
          <w:lang w:val="en-GB"/>
        </w:rPr>
      </w:pPr>
    </w:p>
    <w:p w14:paraId="7DF1C600" w14:textId="65A332CA" w:rsidR="00A00081" w:rsidRPr="00DB6E02" w:rsidRDefault="00A00081">
      <w:pPr>
        <w:pStyle w:val="Paragraphedeliste"/>
        <w:spacing w:after="120" w:line="240" w:lineRule="auto"/>
        <w:ind w:left="0" w:firstLine="284"/>
        <w:jc w:val="both"/>
        <w:rPr>
          <w:b/>
          <w:color w:val="000000" w:themeColor="text1"/>
          <w:sz w:val="28"/>
          <w:szCs w:val="28"/>
          <w:lang w:val="en-GB"/>
        </w:rPr>
      </w:pPr>
    </w:p>
    <w:p w14:paraId="357A92C2" w14:textId="77777777" w:rsidR="00DB6E02" w:rsidRPr="00DB6E02" w:rsidRDefault="00DB6E02" w:rsidP="00DB6E02">
      <w:pPr>
        <w:pStyle w:val="Body"/>
        <w:jc w:val="center"/>
        <w:rPr>
          <w:rFonts w:ascii="Times New Roman" w:eastAsia="Times New Roman" w:hAnsi="Times New Roman" w:cs="Times New Roman"/>
          <w:b/>
          <w:bCs/>
          <w:color w:val="000000" w:themeColor="text1"/>
          <w:sz w:val="24"/>
          <w:szCs w:val="24"/>
          <w:lang w:val="en-GB"/>
        </w:rPr>
      </w:pPr>
      <w:r w:rsidRPr="00DB6E02">
        <w:rPr>
          <w:rFonts w:ascii="Times New Roman" w:hAnsi="Times New Roman"/>
          <w:b/>
          <w:bCs/>
          <w:color w:val="000000" w:themeColor="text1"/>
          <w:sz w:val="24"/>
          <w:szCs w:val="24"/>
          <w:lang w:val="en-GB"/>
        </w:rPr>
        <w:t>Thinking Anti-Gender Movements in Africa</w:t>
      </w:r>
    </w:p>
    <w:p w14:paraId="7F563F8D" w14:textId="21B244B9"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2AD0F045"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2C9E5E36"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 xml:space="preserve">Anti-gender campaigns have been developing in Africa for around twenty years. As an analytical category, anti-gender embraces a diverse collection of social and political actors who believe in the existence of “a gender theory” and have built it up into a public issue </w:t>
      </w:r>
      <w:r w:rsidRPr="00DB6E02">
        <w:rPr>
          <w:rFonts w:ascii="Times New Roman" w:hAnsi="Times New Roman"/>
          <w:color w:val="000000" w:themeColor="text1"/>
          <w:sz w:val="24"/>
          <w:szCs w:val="24"/>
          <w:lang w:val="en-GB"/>
        </w:rPr>
        <w:t xml:space="preserve">(Kuhar and Paternotte, 2017). This political task was originally taken up by the Vatican and observed in Europe, and is based on the delegitimisation of gender studies, which are accused of being ideological and non-scientific, and on the designation of gender as “an adversary bearing a denaturalised vision of the gender-related and sexual order” (Garbagnoli and Prearo, 2017: 10). Many forms of expression are exploited by opponents of gender: individual positions and public scandalisation, lobbying campaigns and community mobilisations. The anti-gender movement develops discourse and actions in opposition to the concept of gender and gender studies, starting from the social, political and legal transformations secured by the struggles of feminist and sexual minorities that resulted from them. It is a multifaceted conservative rhetoric and </w:t>
      </w:r>
      <w:r w:rsidRPr="00DB6E02">
        <w:rPr>
          <w:rFonts w:ascii="Times New Roman" w:hAnsi="Times New Roman"/>
          <w:i/>
          <w:iCs/>
          <w:color w:val="000000" w:themeColor="text1"/>
          <w:sz w:val="24"/>
          <w:szCs w:val="24"/>
          <w:lang w:val="en-GB"/>
        </w:rPr>
        <w:t>blacklash</w:t>
      </w:r>
      <w:r w:rsidRPr="00DB6E02">
        <w:rPr>
          <w:rFonts w:ascii="Times New Roman" w:hAnsi="Times New Roman"/>
          <w:color w:val="000000" w:themeColor="text1"/>
          <w:sz w:val="24"/>
          <w:szCs w:val="24"/>
          <w:lang w:val="en-GB"/>
        </w:rPr>
        <w:t xml:space="preserve"> movement.</w:t>
      </w:r>
    </w:p>
    <w:p w14:paraId="5290FA9C"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 xml:space="preserve">Examples of gender opposition have punctuated recent events on the African continent. While a large majority of states have ratified the Maputo Protocol, which recognises abortion rights under certain specific circumstances (Article 14), they have mostly been repressed, and they are the subject of divisive debates in society. A controversy arose in Kenya in 2018 around the closure of medical centres that admitted women who had suffered complications following illegal abortions. Feminists denounced the government’s “negligence” and its “inability” to </w:t>
      </w:r>
      <w:r w:rsidRPr="00DB6E02">
        <w:rPr>
          <w:rFonts w:ascii="Times New Roman" w:eastAsia="Times New Roman" w:hAnsi="Times New Roman" w:cs="Times New Roman"/>
          <w:color w:val="000000" w:themeColor="text1"/>
          <w:sz w:val="24"/>
          <w:szCs w:val="24"/>
          <w:lang w:val="en-GB"/>
        </w:rPr>
        <w:lastRenderedPageBreak/>
        <w:t>guarantee and promote sexual and reproductive health services</w:t>
      </w:r>
      <w:r w:rsidRPr="00DB6E02">
        <w:rPr>
          <w:rFonts w:ascii="Times New Roman" w:eastAsia="Times New Roman" w:hAnsi="Times New Roman" w:cs="Times New Roman"/>
          <w:color w:val="000000" w:themeColor="text1"/>
          <w:sz w:val="24"/>
          <w:szCs w:val="24"/>
          <w:vertAlign w:val="superscript"/>
          <w:lang w:val="en-GB"/>
        </w:rPr>
        <w:footnoteReference w:id="1"/>
      </w:r>
      <w:r w:rsidRPr="00DB6E02">
        <w:rPr>
          <w:rFonts w:ascii="Times New Roman" w:hAnsi="Times New Roman"/>
          <w:color w:val="000000" w:themeColor="text1"/>
          <w:sz w:val="24"/>
          <w:szCs w:val="24"/>
          <w:lang w:val="en-GB"/>
        </w:rPr>
        <w:t>. Despite the campaign led by religious lobbies, they succeed in having these health centres reopened. In many countries with a Muslim majority, it is the issue of the reform of family rights that has placed feminists and conservatives in opposition to each other over the course of many years. Although Morocco has succeeded in reforming its laws (Vairel, 2014), other countries such as Senegal have opted for the status quo (N</w:t>
      </w:r>
      <w:r w:rsidRPr="00DB6E02">
        <w:rPr>
          <w:rFonts w:ascii="Times New Roman" w:hAnsi="Times New Roman"/>
          <w:color w:val="000000" w:themeColor="text1"/>
          <w:sz w:val="24"/>
          <w:szCs w:val="24"/>
          <w:rtl/>
          <w:lang w:val="en-GB"/>
        </w:rPr>
        <w:t>’</w:t>
      </w:r>
      <w:r w:rsidRPr="00DB6E02">
        <w:rPr>
          <w:rFonts w:ascii="Times New Roman" w:hAnsi="Times New Roman"/>
          <w:color w:val="000000" w:themeColor="text1"/>
          <w:sz w:val="24"/>
          <w:szCs w:val="24"/>
          <w:lang w:val="en-GB"/>
        </w:rPr>
        <w:t>Diaye, 2016) or, under pressure from religious groups, have reversed previous gains, as has been the case in Mali (Soares, 2009). Elsewhere on the continent, tensions have focused on homosexuality (Awondo, 2019; Currier, 2018). The “schoolbooks affair”</w:t>
      </w:r>
      <w:r w:rsidRPr="00DB6E02">
        <w:rPr>
          <w:rStyle w:val="None"/>
          <w:rFonts w:ascii="Times New Roman" w:eastAsia="Times New Roman" w:hAnsi="Times New Roman" w:cs="Times New Roman"/>
          <w:color w:val="000000" w:themeColor="text1"/>
          <w:sz w:val="24"/>
          <w:szCs w:val="24"/>
          <w:vertAlign w:val="superscript"/>
          <w:lang w:val="en-GB"/>
        </w:rPr>
        <w:footnoteReference w:id="2"/>
      </w:r>
      <w:r w:rsidRPr="00DB6E02">
        <w:rPr>
          <w:rFonts w:ascii="Times New Roman" w:hAnsi="Times New Roman"/>
          <w:color w:val="000000" w:themeColor="text1"/>
          <w:sz w:val="24"/>
          <w:szCs w:val="24"/>
          <w:lang w:val="en-GB"/>
        </w:rPr>
        <w:t xml:space="preserve"> in Cameroon in 2018 led to a chapter of a biology textbook that made reference to homosexuality being withdrawn. This outcry recalled the “List of homosexuals of the Republic” affair (2006), which had resulted in a wave of homophobia. The criminal repression of homosexuals on the continent has given rise to high-profile cases during which the line between law and morals has been especially tenuous (Dupret and Ferrié, 2004; Abéga, 2007). </w:t>
      </w:r>
    </w:p>
    <w:p w14:paraId="1EEB06F8"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 xml:space="preserve">These few examples are sufficient to convince one of the </w:t>
      </w:r>
      <w:proofErr w:type="gramStart"/>
      <w:r w:rsidRPr="00DB6E02">
        <w:rPr>
          <w:rFonts w:ascii="Times New Roman" w:eastAsia="Times New Roman" w:hAnsi="Times New Roman" w:cs="Times New Roman"/>
          <w:color w:val="000000" w:themeColor="text1"/>
          <w:sz w:val="24"/>
          <w:szCs w:val="24"/>
          <w:lang w:val="en-GB"/>
        </w:rPr>
        <w:t>urgency</w:t>
      </w:r>
      <w:proofErr w:type="gramEnd"/>
      <w:r w:rsidRPr="00DB6E02">
        <w:rPr>
          <w:rFonts w:ascii="Times New Roman" w:eastAsia="Times New Roman" w:hAnsi="Times New Roman" w:cs="Times New Roman"/>
          <w:color w:val="000000" w:themeColor="text1"/>
          <w:sz w:val="24"/>
          <w:szCs w:val="24"/>
          <w:lang w:val="en-GB"/>
        </w:rPr>
        <w:t xml:space="preserve"> of making an empirical investment in these social phenomena. How should the rise in the power of anti-gender rhetoric and mobilisations be understood? What do they teach us about African societies and political spaces?</w:t>
      </w:r>
    </w:p>
    <w:p w14:paraId="397718D5"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29007AD2"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In the first place, they are a reaction against the struggles of a new generation of militants who are fighting for the recognition and implementation of the rights of women and sexual minorities based on a plural feminism and a more inclusive concept of human rights. These counter-mobilisations are led by a variety of moral entrepreneurs (</w:t>
      </w:r>
      <w:r w:rsidRPr="00DB6E02">
        <w:rPr>
          <w:rFonts w:ascii="Times New Roman" w:hAnsi="Times New Roman"/>
          <w:color w:val="000000" w:themeColor="text1"/>
          <w:sz w:val="24"/>
          <w:szCs w:val="24"/>
          <w:lang w:val="en-GB"/>
        </w:rPr>
        <w:t>religious figures, the media and community leaders), and have gradually become organised through the implementation of “sexual moral strategies” (Weiringa, 2009), with the objective of making issues of sex and gender a propaganda tool for imposing themselves on, and acquiring legitimacy in, the public space.</w:t>
      </w:r>
    </w:p>
    <w:p w14:paraId="1274A328"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The struggle is not simply “a reaction”: it is proactive. Similar to what is taking place in Europe (</w:t>
      </w:r>
      <w:r w:rsidRPr="00DB6E02">
        <w:rPr>
          <w:rFonts w:ascii="Times New Roman" w:hAnsi="Times New Roman"/>
          <w:color w:val="000000" w:themeColor="text1"/>
          <w:sz w:val="24"/>
          <w:szCs w:val="24"/>
          <w:lang w:val="en-GB"/>
        </w:rPr>
        <w:t>Kuhar and Paternotte, 2017), we are seeing preventive “ideological wars” that seek to prepare people to fight the coming gender. This import of a culture war reflects the influence of American evangelists on the continent (Kaoma, 2009). We know that the regional and international connections of gender opponents play a fundamental role in their organisation. At this level, anti-gender rhetoric and mobilisations remind us of how outward-looking the African continent is (Bayart, 1999), but it is a form of “extrAversion” that is also played out through conservative or absolutist movements that remain the poor relation of the sociology of social movements (Siméant, 2013).</w:t>
      </w:r>
    </w:p>
    <w:p w14:paraId="1FA3F958"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 xml:space="preserve">By identifying “gender theory” as the sole enemy </w:t>
      </w:r>
      <w:r w:rsidRPr="00DB6E02">
        <w:rPr>
          <w:rFonts w:ascii="Times New Roman" w:hAnsi="Times New Roman"/>
          <w:color w:val="000000" w:themeColor="text1"/>
          <w:sz w:val="24"/>
          <w:szCs w:val="24"/>
          <w:lang w:val="en-GB"/>
        </w:rPr>
        <w:t xml:space="preserve">– according to the language initially used by the Vatican (Carnac, 2013; Husson, 2015) – the anti-gender movement contributes towards creating and sustaining the confusion over the identity of gender studies, feminist struggles and sexual minorities, whose mobilisations are a long way from always converging, and may be managed separately, or even compete with each other. Aside from the competition that may exist among these groups when it comes to obtaining funds from international aid, feminists, for example, choose to keep their distance from mobilisations in favour of sexual minorities because of their very high degree of social stigmatisation. The dynamic of the </w:t>
      </w:r>
      <w:r w:rsidRPr="00DB6E02">
        <w:rPr>
          <w:rFonts w:ascii="Times New Roman" w:hAnsi="Times New Roman"/>
          <w:color w:val="000000" w:themeColor="text1"/>
          <w:sz w:val="24"/>
          <w:szCs w:val="24"/>
          <w:lang w:val="en-GB"/>
        </w:rPr>
        <w:lastRenderedPageBreak/>
        <w:t>creation of alliances and divisions within what is described as pro-gender as a result of anti-gender</w:t>
      </w:r>
      <w:r w:rsidRPr="00DB6E02">
        <w:rPr>
          <w:rStyle w:val="None"/>
          <w:rFonts w:ascii="Times New Roman" w:eastAsia="Times New Roman" w:hAnsi="Times New Roman" w:cs="Times New Roman"/>
          <w:color w:val="000000" w:themeColor="text1"/>
          <w:sz w:val="24"/>
          <w:szCs w:val="24"/>
          <w:vertAlign w:val="superscript"/>
          <w:lang w:val="en-GB"/>
        </w:rPr>
        <w:footnoteReference w:id="3"/>
      </w:r>
      <w:r w:rsidRPr="00DB6E02">
        <w:rPr>
          <w:rFonts w:ascii="Times New Roman" w:hAnsi="Times New Roman"/>
          <w:color w:val="000000" w:themeColor="text1"/>
          <w:sz w:val="24"/>
          <w:szCs w:val="24"/>
          <w:lang w:val="en-GB"/>
        </w:rPr>
        <w:t xml:space="preserve"> attacks therefore merits investigation.</w:t>
      </w:r>
    </w:p>
    <w:p w14:paraId="70A16734"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7B01259B"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 xml:space="preserve">The anti-gender movement also systematically castigates “gender ideology” for its “imperialism”. Ultimately, fighting gender means combating the West’s desire to use the cover of universalism to impose its own values, which are seen as destroying the social order of African societies, something African feminists have long criticised it for </w:t>
      </w:r>
      <w:r w:rsidRPr="00DB6E02">
        <w:rPr>
          <w:rFonts w:ascii="Times New Roman" w:hAnsi="Times New Roman"/>
          <w:color w:val="000000" w:themeColor="text1"/>
          <w:sz w:val="24"/>
          <w:szCs w:val="24"/>
          <w:lang w:val="en-GB"/>
        </w:rPr>
        <w:t xml:space="preserve">(Latourès, 2009; Sow, 2012). The criticisms of feminists' </w:t>
      </w:r>
      <w:proofErr w:type="gramStart"/>
      <w:r w:rsidRPr="00DB6E02">
        <w:rPr>
          <w:rFonts w:ascii="Times New Roman" w:hAnsi="Times New Roman"/>
          <w:color w:val="000000" w:themeColor="text1"/>
          <w:sz w:val="24"/>
          <w:szCs w:val="24"/>
          <w:lang w:val="en-GB"/>
        </w:rPr>
        <w:t>demands</w:t>
      </w:r>
      <w:proofErr w:type="gramEnd"/>
      <w:r w:rsidRPr="00DB6E02">
        <w:rPr>
          <w:rFonts w:ascii="Times New Roman" w:hAnsi="Times New Roman"/>
          <w:color w:val="000000" w:themeColor="text1"/>
          <w:sz w:val="24"/>
          <w:szCs w:val="24"/>
          <w:lang w:val="en-GB"/>
        </w:rPr>
        <w:t xml:space="preserve"> in the area of family rights are illuminating in this regard: the call for more egalitarian laws would lead to a breakdown in the equilibrium of the family, which is the basic unit of society. This kind of assimilation of gender with a new form of imperialism makes it possible to rally a wide variety of actors far beyond religious groups alone to the cause of anti-gender rhetoric and mobilisations. At the beginning of the 2000s, the stigmatisation of gender as a new imperialism was also a factor in its political reclassification. Under the effect of development policies, it became one of the objectives and indicators of public action, stripped of all critical content (Falquet, 2003; Verschuur, 2009). </w:t>
      </w:r>
    </w:p>
    <w:p w14:paraId="760CA4EA"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5E1F9DB7"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 xml:space="preserve">This edition has two main objectives. First of all, the construction of anti-gender reasoning and mobilisations in Africa will be documented in detail. Who are the actors involved? What discourse and modes of action do they employ? How does the movement from discourse to protest happen? What resources and networks do they have? Responding to these questions will make it possible to address certain scientific gaps. On the one hand, the anti-gender movement on the African continent has often only been studied indirectly, in particular as part of research dedicated to female or feminist movements or international gender mainstreaming programmes. The reactions of the anti-gender movement have been included in these analyses, but they are not the main purpose of the studies </w:t>
      </w:r>
      <w:r w:rsidRPr="00DB6E02">
        <w:rPr>
          <w:rFonts w:ascii="Times New Roman" w:hAnsi="Times New Roman"/>
          <w:color w:val="000000" w:themeColor="text1"/>
          <w:sz w:val="24"/>
          <w:szCs w:val="24"/>
          <w:lang w:val="en-GB"/>
        </w:rPr>
        <w:t>(N</w:t>
      </w:r>
      <w:r w:rsidRPr="00DB6E02">
        <w:rPr>
          <w:rFonts w:ascii="Times New Roman" w:hAnsi="Times New Roman"/>
          <w:color w:val="000000" w:themeColor="text1"/>
          <w:sz w:val="24"/>
          <w:szCs w:val="24"/>
          <w:rtl/>
          <w:lang w:val="en-GB"/>
        </w:rPr>
        <w:t>’</w:t>
      </w:r>
      <w:r w:rsidRPr="00DB6E02">
        <w:rPr>
          <w:rFonts w:ascii="Times New Roman" w:hAnsi="Times New Roman"/>
          <w:color w:val="000000" w:themeColor="text1"/>
          <w:sz w:val="24"/>
          <w:szCs w:val="24"/>
          <w:lang w:val="en-GB"/>
        </w:rPr>
        <w:t>Diaye, 2016; Awondo, 2019). On the other hand, works on anti-gender campaigns have essentially been confined to cases in Europe (Kuhar and Paternotte, 2017) and North and South America (Avanza and Della Sudda, 2017; Correâ, Paternotte and Kuhar, 2018). Only rarely has Africa found a place in studies dedicated to the Global South on this issue (Anderson, 2011). The anti-gender movement has been studied above all from the point of view of homophobia and its transnational conservative Christian networks, and the ties to other conservative mobilisations (</w:t>
      </w:r>
      <w:r w:rsidRPr="00DB6E02">
        <w:rPr>
          <w:rStyle w:val="None"/>
          <w:rFonts w:ascii="Times New Roman" w:hAnsi="Times New Roman"/>
          <w:i/>
          <w:iCs/>
          <w:color w:val="000000" w:themeColor="text1"/>
          <w:sz w:val="24"/>
          <w:szCs w:val="24"/>
          <w:lang w:val="en-GB"/>
        </w:rPr>
        <w:t>Politix</w:t>
      </w:r>
      <w:r w:rsidRPr="00DB6E02">
        <w:rPr>
          <w:rFonts w:ascii="Times New Roman" w:hAnsi="Times New Roman"/>
          <w:color w:val="000000" w:themeColor="text1"/>
          <w:sz w:val="24"/>
          <w:szCs w:val="24"/>
          <w:lang w:val="en-GB"/>
        </w:rPr>
        <w:t>, 2014) such as masculinist or anti-feminist movements have not been fully grasped.</w:t>
      </w:r>
    </w:p>
    <w:p w14:paraId="7DF2674B"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5771A513"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 xml:space="preserve">Anti-gender mobilisations in Africa then need to be envisaged as a privileged analyser of the ongoing process of nationalist expression and political construction. A number of studies have illustrated the intrinsic links between nationalism and questions of gender and sexuality, as accurately portrayed by the term “sexual nationalism” </w:t>
      </w:r>
      <w:r w:rsidRPr="00DB6E02">
        <w:rPr>
          <w:rFonts w:ascii="Times New Roman" w:hAnsi="Times New Roman"/>
          <w:color w:val="000000" w:themeColor="text1"/>
          <w:sz w:val="24"/>
          <w:szCs w:val="24"/>
          <w:lang w:val="en-GB"/>
        </w:rPr>
        <w:t>(Jaunait et al. 2013). We know that both colonial administrations and independence leaders placed women, the family and sexuality at the heart of their ideological matrix (Bouilly and Rillon, 2016). Later, exploiting postcolonial tensions, the language that associated “gender ideology” with colonisation, imperialism and cultural imposition became a dominant strategy of conservative movements (Corredor, 2019). The purpose of this contribution is to reactivate an analysis not only of the construction of nations at the dawn of the politicisation of gender and sexuality, but also of the processes of sexual and political subjectivation in Africa (Awondo, 2019).</w:t>
      </w:r>
    </w:p>
    <w:p w14:paraId="3DD6BB6B"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71E0D8D3"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eastAsia="Times New Roman" w:hAnsi="Times New Roman" w:cs="Times New Roman"/>
          <w:color w:val="000000" w:themeColor="text1"/>
          <w:sz w:val="24"/>
          <w:szCs w:val="24"/>
          <w:lang w:val="en-GB"/>
        </w:rPr>
        <w:tab/>
        <w:t>The expected contributions can be organised around the following four axes:</w:t>
      </w:r>
    </w:p>
    <w:p w14:paraId="59EB1880"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2B17DE76"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r w:rsidRPr="00DB6E02">
        <w:rPr>
          <w:rFonts w:ascii="Times New Roman" w:hAnsi="Times New Roman"/>
          <w:b/>
          <w:bCs/>
          <w:color w:val="000000" w:themeColor="text1"/>
          <w:sz w:val="24"/>
          <w:szCs w:val="24"/>
          <w:lang w:val="en-GB"/>
        </w:rPr>
        <w:lastRenderedPageBreak/>
        <w:t>Axis 1: Profile and mobilisation spaces of the anti-gender movements</w:t>
      </w:r>
    </w:p>
    <w:p w14:paraId="4DBE274A"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p>
    <w:p w14:paraId="12F6143B"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hAnsi="Times New Roman"/>
          <w:color w:val="000000" w:themeColor="text1"/>
          <w:sz w:val="24"/>
          <w:szCs w:val="24"/>
          <w:lang w:val="en-GB"/>
        </w:rPr>
        <w:t>This part will focus on the actors who produce the discourse and/or lead the anti-gender campaigns. Who are they, politically and socially? What is the role played by moral entrepreneurs (religious, “traditional” leaders, communities and the media)? How can the contours of a potentially very extensive conservative opposition – ranging from “community of thought” to the best-organised reactionary groups – be traced? Where do intellectuals stand in this societal debate? Do all the actors who are identified as or claimed to be anti-gender develop the same concept of the term, and do they occupy the same positions within national political and social spaces? How are the identities of these groups and any alliances they may form constructed? How can the variations observed across the continent be explained?</w:t>
      </w:r>
    </w:p>
    <w:p w14:paraId="0572E6D1"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240D8910"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r w:rsidRPr="00DB6E02">
        <w:rPr>
          <w:rFonts w:ascii="Times New Roman" w:hAnsi="Times New Roman"/>
          <w:b/>
          <w:bCs/>
          <w:color w:val="000000" w:themeColor="text1"/>
          <w:sz w:val="24"/>
          <w:szCs w:val="24"/>
          <w:lang w:val="en-GB"/>
        </w:rPr>
        <w:t>Axis 2: The organisations and repertoires of the anti-gender movement</w:t>
      </w:r>
    </w:p>
    <w:p w14:paraId="364FF9F0"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p>
    <w:p w14:paraId="35343ED6"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hAnsi="Times New Roman"/>
          <w:color w:val="000000" w:themeColor="text1"/>
          <w:sz w:val="24"/>
          <w:szCs w:val="24"/>
          <w:lang w:val="en-GB"/>
        </w:rPr>
        <w:t>It will be of interest to take account of the difference between “reaction” and “preventive” mobilisations in order to discuss the notion of “counter-movement” (Meyer and Staggenborg, 1996). History shows that counter-movements are more likely to be born following the success (whether already obtained or potential) of an initial movement crystallising a reaction and in a favourable context, especially as a result of a division of elites. What is the case in Africa? The anti-gender movement also assumes the vague contours of public debate and controversy without their necessarily being translated into an organised movement (Kováts and Petó, 2017). This raises two questions: do these actions have a resonance or social roots that might translate into ordinary practice? The resilience, horizontality and informality of anti-gender actions then invite us to look into the question of how the move is made to collective action and how the “organisational repertoires” are chosen (Clemens, 1993). What modes of action and strategies are used? Can tactical differences and/or innovations be found that can be compared with other anti-gender campaigns across the world?</w:t>
      </w:r>
    </w:p>
    <w:p w14:paraId="305B58A2"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3B63FDDE"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r w:rsidRPr="00DB6E02">
        <w:rPr>
          <w:rFonts w:ascii="Times New Roman" w:hAnsi="Times New Roman"/>
          <w:b/>
          <w:bCs/>
          <w:color w:val="000000" w:themeColor="text1"/>
          <w:sz w:val="24"/>
          <w:szCs w:val="24"/>
          <w:lang w:val="en-GB"/>
        </w:rPr>
        <w:t>Axis 3: Circulation and transnationalisation of the anti-gender movement</w:t>
      </w:r>
    </w:p>
    <w:p w14:paraId="060EFE46"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p>
    <w:p w14:paraId="083D87FE"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hAnsi="Times New Roman"/>
          <w:color w:val="000000" w:themeColor="text1"/>
          <w:sz w:val="24"/>
          <w:szCs w:val="24"/>
          <w:lang w:val="en-GB"/>
        </w:rPr>
        <w:t xml:space="preserve">The way in which “gender circulates” (Bouilly et al., 2019; Cîrstocea et al., 2018) and </w:t>
      </w:r>
      <w:r w:rsidRPr="00DB6E02">
        <w:rPr>
          <w:rFonts w:ascii="Times New Roman" w:hAnsi="Times New Roman"/>
          <w:i/>
          <w:iCs/>
          <w:color w:val="000000" w:themeColor="text1"/>
          <w:sz w:val="24"/>
          <w:szCs w:val="24"/>
          <w:lang w:val="en-GB"/>
        </w:rPr>
        <w:t>a fortiori</w:t>
      </w:r>
      <w:r w:rsidRPr="00DB6E02">
        <w:rPr>
          <w:rFonts w:ascii="Times New Roman" w:hAnsi="Times New Roman"/>
          <w:color w:val="000000" w:themeColor="text1"/>
          <w:sz w:val="24"/>
          <w:szCs w:val="24"/>
          <w:lang w:val="en-GB"/>
        </w:rPr>
        <w:t xml:space="preserve"> the anti-gender movement remains to be questioned. How do anti-gender manifestations become international and transnational? How are the ideological discourses and framings nourished from one space to another, and with what effects? This study makes it possible to discuss structuring conditions beyond the borders of campaigns and mobilisations. It is necessary to investigate the concepts and notions employed on the one hand, and the international division of militant work on the other. What is the local meaning of the concepts of “gender ideology” or “gender theory”? How do African actors use and reappropriate these terms? What emic categories have been developed on the continent? What relationship is there between local and “imported” terminology?</w:t>
      </w:r>
    </w:p>
    <w:p w14:paraId="3B96D678"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24AE801A"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r w:rsidRPr="00DB6E02">
        <w:rPr>
          <w:rFonts w:ascii="Times New Roman" w:hAnsi="Times New Roman"/>
          <w:b/>
          <w:bCs/>
          <w:color w:val="000000" w:themeColor="text1"/>
          <w:sz w:val="24"/>
          <w:szCs w:val="24"/>
          <w:lang w:val="en-GB"/>
        </w:rPr>
        <w:t>Axis 4: Repoliticising gender through the prism of the anti-gender movement</w:t>
      </w:r>
    </w:p>
    <w:p w14:paraId="55753C5C" w14:textId="77777777" w:rsidR="00DB6E02" w:rsidRPr="00DB6E02" w:rsidRDefault="00DB6E02" w:rsidP="00DB6E02">
      <w:pPr>
        <w:pStyle w:val="Body"/>
        <w:jc w:val="both"/>
        <w:rPr>
          <w:rFonts w:ascii="Times New Roman" w:eastAsia="Times New Roman" w:hAnsi="Times New Roman" w:cs="Times New Roman"/>
          <w:b/>
          <w:bCs/>
          <w:color w:val="000000" w:themeColor="text1"/>
          <w:sz w:val="24"/>
          <w:szCs w:val="24"/>
          <w:lang w:val="en-GB"/>
        </w:rPr>
      </w:pPr>
    </w:p>
    <w:p w14:paraId="0D998A3D"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hAnsi="Times New Roman"/>
          <w:color w:val="000000" w:themeColor="text1"/>
          <w:sz w:val="24"/>
          <w:szCs w:val="24"/>
          <w:lang w:val="en-GB"/>
        </w:rPr>
        <w:t xml:space="preserve">Finally, how do anti-gender campaigns participate in “repoliticising gender” (Awondo, 2016), and what are the effects on the struggles led by feminists and the defenders of sexual minorities? How do these actors react to the war of values anti-gender proponents seek to impose? In terms of public action, does the politicisation of debates obstruct gender policies or not? Ultimately, what can we learn from the depoliticisation and (re)politicisation of the continuing processes of formation of national identities and political spaces in Africa? The critical discourses on gender have a long history: the question of sexual nationalism has already been mentioned. At </w:t>
      </w:r>
      <w:r w:rsidRPr="00DB6E02">
        <w:rPr>
          <w:rFonts w:ascii="Times New Roman" w:hAnsi="Times New Roman"/>
          <w:color w:val="000000" w:themeColor="text1"/>
          <w:sz w:val="24"/>
          <w:szCs w:val="24"/>
          <w:lang w:val="en-GB"/>
        </w:rPr>
        <w:lastRenderedPageBreak/>
        <w:t>another level, we might also mention the writings of female academics who reject the scientific relevance and heuristic dimension of the concept of gender to describe African societies (Oyewùmí, 2002; Amadiume, 1987). Are the contemporary anti-gender mobilisations the heirs to this militant and intellectual output, whether they claim to be or not? Here, it is a question of looking into the historicity of contemporary mobilisations in order to determine whether we are witnessing a new cycle.</w:t>
      </w:r>
    </w:p>
    <w:p w14:paraId="56590074"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73375703" w14:textId="21D533D0" w:rsidR="00DB6E02" w:rsidRDefault="00DB6E02" w:rsidP="00DB6E02">
      <w:pPr>
        <w:pStyle w:val="Body"/>
        <w:jc w:val="both"/>
        <w:rPr>
          <w:rFonts w:ascii="Times New Roman" w:hAnsi="Times New Roman"/>
          <w:color w:val="000000" w:themeColor="text1"/>
          <w:sz w:val="24"/>
          <w:szCs w:val="24"/>
          <w:lang w:val="en-US"/>
        </w:rPr>
      </w:pPr>
      <w:r w:rsidRPr="00DB6E02">
        <w:rPr>
          <w:rFonts w:ascii="Times New Roman" w:eastAsia="Times New Roman" w:hAnsi="Times New Roman" w:cs="Times New Roman"/>
          <w:color w:val="000000" w:themeColor="text1"/>
          <w:sz w:val="24"/>
          <w:szCs w:val="24"/>
          <w:lang w:val="en-GB"/>
        </w:rPr>
        <w:tab/>
        <w:t xml:space="preserve">Contributions may refer to one or more of these axes. They will offer original analyses of the plurality of the forms of expression of the anti-gender movement in Africa in both Christian and Muslim contexts. From a methodological standpoint, the contributions will be based on extensive empirical materials </w:t>
      </w:r>
      <w:r w:rsidRPr="00DB6E02">
        <w:rPr>
          <w:rFonts w:ascii="Times New Roman" w:hAnsi="Times New Roman"/>
          <w:color w:val="000000" w:themeColor="text1"/>
          <w:sz w:val="24"/>
          <w:szCs w:val="24"/>
          <w:lang w:val="en-GB"/>
        </w:rPr>
        <w:t xml:space="preserve">– ethnographic, historical or literary – that have been collected by using both qualitative and quantitative methods. </w:t>
      </w:r>
      <w:r w:rsidRPr="00DB6E02">
        <w:rPr>
          <w:rFonts w:ascii="Times New Roman" w:hAnsi="Times New Roman"/>
          <w:color w:val="000000" w:themeColor="text1"/>
          <w:sz w:val="24"/>
          <w:szCs w:val="24"/>
          <w:lang w:val="en-US"/>
        </w:rPr>
        <w:t>Interdisciplinary approaches are encouraged</w:t>
      </w:r>
      <w:r>
        <w:rPr>
          <w:rFonts w:ascii="Times New Roman" w:hAnsi="Times New Roman"/>
          <w:color w:val="000000" w:themeColor="text1"/>
          <w:sz w:val="24"/>
          <w:szCs w:val="24"/>
          <w:lang w:val="en-US"/>
        </w:rPr>
        <w:t xml:space="preserve">. </w:t>
      </w:r>
    </w:p>
    <w:p w14:paraId="0B317241" w14:textId="77777777" w:rsidR="00DB6E02" w:rsidRPr="00DB6E02" w:rsidRDefault="00DB6E02" w:rsidP="00DB6E02">
      <w:pPr>
        <w:pStyle w:val="Body"/>
        <w:jc w:val="both"/>
        <w:rPr>
          <w:rFonts w:ascii="Times New Roman" w:hAnsi="Times New Roman"/>
          <w:color w:val="000000" w:themeColor="text1"/>
          <w:sz w:val="24"/>
          <w:szCs w:val="24"/>
          <w:lang w:val="en-US"/>
        </w:rPr>
      </w:pPr>
    </w:p>
    <w:p w14:paraId="2D11F199" w14:textId="02F8EA3B" w:rsidR="00DB6E02" w:rsidRPr="00DB6E02" w:rsidRDefault="00DB6E02" w:rsidP="00DB6E02">
      <w:pPr>
        <w:jc w:val="both"/>
        <w:rPr>
          <w:b/>
          <w:color w:val="000000" w:themeColor="text1"/>
          <w:lang w:val="en-GB"/>
        </w:rPr>
      </w:pPr>
      <w:r w:rsidRPr="00DB6E02">
        <w:rPr>
          <w:b/>
          <w:color w:val="000000" w:themeColor="text1"/>
          <w:lang w:val="en-GB"/>
        </w:rPr>
        <w:t xml:space="preserve">Calendar  </w:t>
      </w:r>
    </w:p>
    <w:p w14:paraId="223E78E8" w14:textId="77777777" w:rsidR="00DB6E02" w:rsidRPr="00DB6E02" w:rsidRDefault="00DB6E02" w:rsidP="00DB6E02">
      <w:pPr>
        <w:jc w:val="both"/>
        <w:rPr>
          <w:b/>
          <w:color w:val="000000" w:themeColor="text1"/>
          <w:lang w:val="en-GB"/>
        </w:rPr>
      </w:pPr>
    </w:p>
    <w:p w14:paraId="3189D303" w14:textId="66377309" w:rsidR="00DB6E02" w:rsidRPr="00DB6E02" w:rsidRDefault="004C1543" w:rsidP="00DB6E02">
      <w:pPr>
        <w:pStyle w:val="Body"/>
        <w:jc w:val="both"/>
        <w:rPr>
          <w:rFonts w:ascii="Times New Roman" w:eastAsia="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10</w:t>
      </w:r>
      <w:r w:rsidR="00DB6E02" w:rsidRPr="00DB6E02">
        <w:rPr>
          <w:rFonts w:ascii="Times New Roman" w:hAnsi="Times New Roman" w:cs="Times New Roman"/>
          <w:b/>
          <w:bCs/>
          <w:color w:val="000000" w:themeColor="text1"/>
          <w:sz w:val="24"/>
          <w:szCs w:val="24"/>
          <w:lang w:val="en-GB"/>
        </w:rPr>
        <w:t>/09/2021</w:t>
      </w:r>
      <w:r w:rsidR="00DB6E02" w:rsidRPr="00DB6E02">
        <w:rPr>
          <w:rFonts w:ascii="Times New Roman" w:hAnsi="Times New Roman" w:cs="Times New Roman"/>
          <w:color w:val="000000" w:themeColor="text1"/>
          <w:sz w:val="24"/>
          <w:szCs w:val="24"/>
          <w:lang w:val="en-GB"/>
        </w:rPr>
        <w:t xml:space="preserve">: Deadline for submission of paper proposals (in French or English) to </w:t>
      </w:r>
      <w:r w:rsidR="00DB6E02" w:rsidRPr="00DB6E02">
        <w:rPr>
          <w:rFonts w:ascii="Times New Roman" w:eastAsia="Times New Roman" w:hAnsi="Times New Roman" w:cs="Times New Roman"/>
          <w:color w:val="000000" w:themeColor="text1"/>
          <w:sz w:val="24"/>
          <w:szCs w:val="24"/>
          <w:lang w:val="en-GB"/>
        </w:rPr>
        <w:t>Patrick Awondo (</w:t>
      </w:r>
      <w:hyperlink r:id="rId9" w:history="1">
        <w:r w:rsidR="00DB6E02" w:rsidRPr="00DB6E02">
          <w:rPr>
            <w:rStyle w:val="Lienhypertexte"/>
            <w:rFonts w:ascii="Times New Roman" w:eastAsia="Times New Roman" w:hAnsi="Times New Roman" w:cs="Times New Roman"/>
            <w:color w:val="000000" w:themeColor="text1"/>
            <w:sz w:val="24"/>
            <w:szCs w:val="24"/>
            <w:lang w:val="en-GB"/>
          </w:rPr>
          <w:t>pawondo2005@yahoo.fr</w:t>
        </w:r>
      </w:hyperlink>
      <w:r w:rsidR="00DB6E02" w:rsidRPr="00DB6E02">
        <w:rPr>
          <w:rFonts w:ascii="Times New Roman" w:eastAsia="Times New Roman" w:hAnsi="Times New Roman" w:cs="Times New Roman"/>
          <w:color w:val="000000" w:themeColor="text1"/>
          <w:sz w:val="24"/>
          <w:szCs w:val="24"/>
          <w:lang w:val="en-GB"/>
        </w:rPr>
        <w:t>), Emmanuelle Bouilly (</w:t>
      </w:r>
      <w:hyperlink r:id="rId10" w:history="1">
        <w:r w:rsidR="00DB6E02" w:rsidRPr="00DB6E02">
          <w:rPr>
            <w:rStyle w:val="Lienhypertexte"/>
            <w:rFonts w:ascii="Times New Roman" w:eastAsia="Times New Roman" w:hAnsi="Times New Roman" w:cs="Times New Roman"/>
            <w:color w:val="000000" w:themeColor="text1"/>
            <w:sz w:val="24"/>
            <w:szCs w:val="24"/>
            <w:lang w:val="en-GB"/>
          </w:rPr>
          <w:t>e.bouilly@sciencespobordeaux.fr</w:t>
        </w:r>
      </w:hyperlink>
      <w:r w:rsidR="00DB6E02" w:rsidRPr="00DB6E02">
        <w:rPr>
          <w:rFonts w:ascii="Times New Roman" w:eastAsia="Times New Roman" w:hAnsi="Times New Roman" w:cs="Times New Roman"/>
          <w:color w:val="000000" w:themeColor="text1"/>
          <w:sz w:val="24"/>
          <w:szCs w:val="24"/>
          <w:lang w:val="en-GB"/>
        </w:rPr>
        <w:t>) and Marième N’Diaye (</w:t>
      </w:r>
      <w:hyperlink r:id="rId11" w:history="1">
        <w:r w:rsidR="00DB6E02" w:rsidRPr="00DB6E02">
          <w:rPr>
            <w:rStyle w:val="Lienhypertexte"/>
            <w:rFonts w:ascii="Times New Roman" w:eastAsia="Times New Roman" w:hAnsi="Times New Roman" w:cs="Times New Roman"/>
            <w:color w:val="000000" w:themeColor="text1"/>
            <w:sz w:val="24"/>
            <w:szCs w:val="24"/>
            <w:lang w:val="en-GB"/>
          </w:rPr>
          <w:t>mariem.ndiaye@cnrs.fr</w:t>
        </w:r>
      </w:hyperlink>
      <w:r w:rsidR="00DB6E02" w:rsidRPr="00DB6E02">
        <w:rPr>
          <w:rFonts w:ascii="Times New Roman" w:eastAsia="Times New Roman" w:hAnsi="Times New Roman" w:cs="Times New Roman"/>
          <w:color w:val="000000" w:themeColor="text1"/>
          <w:sz w:val="24"/>
          <w:szCs w:val="24"/>
          <w:lang w:val="en-GB"/>
        </w:rPr>
        <w:t xml:space="preserve">) </w:t>
      </w:r>
    </w:p>
    <w:p w14:paraId="125FDB04" w14:textId="77777777"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p>
    <w:p w14:paraId="332BB8A3" w14:textId="1CF0D6BD" w:rsidR="00DB6E02" w:rsidRPr="00DB6E02" w:rsidRDefault="00C869EA" w:rsidP="00DB6E02">
      <w:pPr>
        <w:jc w:val="both"/>
        <w:rPr>
          <w:color w:val="000000" w:themeColor="text1"/>
          <w:lang w:val="en-GB"/>
        </w:rPr>
      </w:pPr>
      <w:r>
        <w:rPr>
          <w:b/>
          <w:bCs/>
          <w:color w:val="000000" w:themeColor="text1"/>
          <w:lang w:val="en-GB"/>
        </w:rPr>
        <w:t>20</w:t>
      </w:r>
      <w:r w:rsidR="00DB6E02" w:rsidRPr="00DB6E02">
        <w:rPr>
          <w:b/>
          <w:bCs/>
          <w:color w:val="000000" w:themeColor="text1"/>
          <w:lang w:val="en-GB"/>
        </w:rPr>
        <w:t>/09/2021</w:t>
      </w:r>
      <w:r w:rsidR="00DB6E02" w:rsidRPr="00DB6E02">
        <w:rPr>
          <w:color w:val="000000" w:themeColor="text1"/>
          <w:lang w:val="en-GB"/>
        </w:rPr>
        <w:t xml:space="preserve">: Notification to authors of acceptance or rejection of their proposal </w:t>
      </w:r>
    </w:p>
    <w:p w14:paraId="7E6774D4" w14:textId="77777777" w:rsidR="00DB6E02" w:rsidRPr="00DB6E02" w:rsidRDefault="00DB6E02" w:rsidP="00DB6E02">
      <w:pPr>
        <w:jc w:val="both"/>
        <w:rPr>
          <w:color w:val="000000" w:themeColor="text1"/>
          <w:lang w:val="en-GB"/>
        </w:rPr>
      </w:pPr>
    </w:p>
    <w:p w14:paraId="18D26C62" w14:textId="71F7B94B" w:rsidR="00DB6E02" w:rsidRPr="00DB6E02" w:rsidRDefault="00DB6E02" w:rsidP="00DB6E02">
      <w:pPr>
        <w:pStyle w:val="Body"/>
        <w:jc w:val="both"/>
        <w:rPr>
          <w:rFonts w:ascii="Times New Roman" w:eastAsia="Times New Roman" w:hAnsi="Times New Roman" w:cs="Times New Roman"/>
          <w:color w:val="000000" w:themeColor="text1"/>
          <w:sz w:val="24"/>
          <w:szCs w:val="24"/>
          <w:lang w:val="en-GB"/>
        </w:rPr>
      </w:pPr>
      <w:r w:rsidRPr="00DB6E02">
        <w:rPr>
          <w:rFonts w:ascii="Times New Roman" w:hAnsi="Times New Roman" w:cs="Times New Roman"/>
          <w:b/>
          <w:bCs/>
          <w:color w:val="000000" w:themeColor="text1"/>
          <w:sz w:val="24"/>
          <w:szCs w:val="24"/>
          <w:lang w:val="en-GB"/>
        </w:rPr>
        <w:t>07/01/2022</w:t>
      </w:r>
      <w:r w:rsidRPr="00DB6E02">
        <w:rPr>
          <w:rFonts w:ascii="Times New Roman" w:hAnsi="Times New Roman" w:cs="Times New Roman"/>
          <w:color w:val="000000" w:themeColor="text1"/>
          <w:sz w:val="24"/>
          <w:szCs w:val="24"/>
          <w:lang w:val="en-GB"/>
        </w:rPr>
        <w:t xml:space="preserve">: deadline for submission of articles to </w:t>
      </w:r>
      <w:r w:rsidRPr="00DB6E02">
        <w:rPr>
          <w:rFonts w:ascii="Times New Roman" w:eastAsia="Times New Roman" w:hAnsi="Times New Roman" w:cs="Times New Roman"/>
          <w:color w:val="000000" w:themeColor="text1"/>
          <w:sz w:val="24"/>
          <w:szCs w:val="24"/>
          <w:lang w:val="en-GB"/>
        </w:rPr>
        <w:t>Patrick Awondo (</w:t>
      </w:r>
      <w:hyperlink r:id="rId12" w:history="1">
        <w:r w:rsidRPr="00DB6E02">
          <w:rPr>
            <w:rStyle w:val="Lienhypertexte"/>
            <w:rFonts w:ascii="Times New Roman" w:eastAsia="Times New Roman" w:hAnsi="Times New Roman" w:cs="Times New Roman"/>
            <w:color w:val="000000" w:themeColor="text1"/>
            <w:sz w:val="24"/>
            <w:szCs w:val="24"/>
            <w:lang w:val="en-GB"/>
          </w:rPr>
          <w:t>pawondo2005@yahoo.fr</w:t>
        </w:r>
      </w:hyperlink>
      <w:r w:rsidRPr="00DB6E02">
        <w:rPr>
          <w:rFonts w:ascii="Times New Roman" w:eastAsia="Times New Roman" w:hAnsi="Times New Roman" w:cs="Times New Roman"/>
          <w:color w:val="000000" w:themeColor="text1"/>
          <w:sz w:val="24"/>
          <w:szCs w:val="24"/>
          <w:lang w:val="en-GB"/>
        </w:rPr>
        <w:t>), Emmanuelle Bouilly (</w:t>
      </w:r>
      <w:hyperlink r:id="rId13" w:history="1">
        <w:r w:rsidRPr="00DB6E02">
          <w:rPr>
            <w:rStyle w:val="Lienhypertexte"/>
            <w:rFonts w:ascii="Times New Roman" w:eastAsia="Times New Roman" w:hAnsi="Times New Roman" w:cs="Times New Roman"/>
            <w:color w:val="000000" w:themeColor="text1"/>
            <w:sz w:val="24"/>
            <w:szCs w:val="24"/>
            <w:lang w:val="en-GB"/>
          </w:rPr>
          <w:t>e.bouilly@sciencespobordeaux.fr</w:t>
        </w:r>
      </w:hyperlink>
      <w:r w:rsidRPr="00DB6E02">
        <w:rPr>
          <w:rFonts w:ascii="Times New Roman" w:eastAsia="Times New Roman" w:hAnsi="Times New Roman" w:cs="Times New Roman"/>
          <w:color w:val="000000" w:themeColor="text1"/>
          <w:sz w:val="24"/>
          <w:szCs w:val="24"/>
          <w:lang w:val="en-GB"/>
        </w:rPr>
        <w:t>) and Marième N’Diaye (</w:t>
      </w:r>
      <w:hyperlink r:id="rId14" w:history="1">
        <w:r w:rsidRPr="00DB6E02">
          <w:rPr>
            <w:rStyle w:val="Lienhypertexte"/>
            <w:rFonts w:ascii="Times New Roman" w:eastAsia="Times New Roman" w:hAnsi="Times New Roman" w:cs="Times New Roman"/>
            <w:color w:val="000000" w:themeColor="text1"/>
            <w:sz w:val="24"/>
            <w:szCs w:val="24"/>
            <w:lang w:val="en-GB"/>
          </w:rPr>
          <w:t>mariem.ndiaye@cnrs.fr</w:t>
        </w:r>
      </w:hyperlink>
      <w:r w:rsidRPr="00DB6E02">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 xml:space="preserve"> </w:t>
      </w:r>
    </w:p>
    <w:p w14:paraId="2F571D68" w14:textId="5B94AE83" w:rsidR="00DB6E02" w:rsidRPr="00DB6E02" w:rsidRDefault="00DB6E02" w:rsidP="00DB6E02">
      <w:pPr>
        <w:jc w:val="both"/>
        <w:rPr>
          <w:color w:val="000000" w:themeColor="text1"/>
          <w:lang w:val="en-GB"/>
        </w:rPr>
      </w:pPr>
    </w:p>
    <w:p w14:paraId="177421AC" w14:textId="77777777" w:rsidR="00DB6E02" w:rsidRPr="00DB6E02" w:rsidRDefault="00DB6E02" w:rsidP="00DB6E02">
      <w:pPr>
        <w:jc w:val="both"/>
        <w:rPr>
          <w:color w:val="000000" w:themeColor="text1"/>
          <w:lang w:val="en-GB"/>
        </w:rPr>
      </w:pPr>
    </w:p>
    <w:p w14:paraId="4A8E2B45" w14:textId="1A406DD8" w:rsidR="00DB6E02" w:rsidRPr="00DB6E02" w:rsidRDefault="00DB6E02" w:rsidP="00DB6E02">
      <w:pPr>
        <w:jc w:val="both"/>
        <w:rPr>
          <w:color w:val="000000" w:themeColor="text1"/>
          <w:lang w:val="en-GB"/>
        </w:rPr>
      </w:pPr>
      <w:r w:rsidRPr="00DB6E02">
        <w:rPr>
          <w:color w:val="000000" w:themeColor="text1"/>
          <w:lang w:val="en-GB"/>
        </w:rPr>
        <w:t xml:space="preserve">For more information on the format of articles to be submitted, see the instructions to authors: </w:t>
      </w:r>
    </w:p>
    <w:p w14:paraId="4B1EE26A" w14:textId="5881EDF3" w:rsidR="00DB6E02" w:rsidRPr="00DB6E02" w:rsidRDefault="00F36E33" w:rsidP="00DB6E02">
      <w:pPr>
        <w:jc w:val="both"/>
        <w:rPr>
          <w:color w:val="000000" w:themeColor="text1"/>
          <w:lang w:val="en-GB"/>
        </w:rPr>
      </w:pPr>
      <w:hyperlink r:id="rId15" w:history="1">
        <w:r w:rsidR="00DB6E02" w:rsidRPr="00DB6E02">
          <w:rPr>
            <w:rStyle w:val="Lienhypertexte"/>
            <w:color w:val="000000" w:themeColor="text1"/>
            <w:lang w:val="en-GB"/>
          </w:rPr>
          <w:t>https://polaf.hypotheses.org/soumettre-un-article/submit-to-the-journal</w:t>
        </w:r>
      </w:hyperlink>
      <w:r w:rsidR="00DB6E02" w:rsidRPr="00DB6E02">
        <w:rPr>
          <w:color w:val="000000" w:themeColor="text1"/>
          <w:lang w:val="en-GB"/>
        </w:rPr>
        <w:t xml:space="preserve"> </w:t>
      </w:r>
      <w:r w:rsidR="00011E92">
        <w:rPr>
          <w:color w:val="000000" w:themeColor="text1"/>
          <w:lang w:val="en-GB"/>
        </w:rPr>
        <w:t xml:space="preserve"> </w:t>
      </w:r>
      <w:r w:rsidR="00DB6E02" w:rsidRPr="00DB6E02">
        <w:rPr>
          <w:color w:val="000000" w:themeColor="text1"/>
          <w:lang w:val="en-GB"/>
        </w:rPr>
        <w:t xml:space="preserve"> </w:t>
      </w:r>
      <w:r w:rsidR="00011E92">
        <w:rPr>
          <w:color w:val="000000" w:themeColor="text1"/>
          <w:lang w:val="en-GB"/>
        </w:rPr>
        <w:t xml:space="preserve"> </w:t>
      </w:r>
      <w:r w:rsidR="00DB6E02">
        <w:rPr>
          <w:color w:val="000000" w:themeColor="text1"/>
          <w:lang w:val="en-GB"/>
        </w:rPr>
        <w:t xml:space="preserve"> </w:t>
      </w:r>
    </w:p>
    <w:p w14:paraId="7AE0C902" w14:textId="77777777" w:rsidR="00DB6E02" w:rsidRPr="00DB6E02" w:rsidRDefault="00DB6E02" w:rsidP="00DB6E02">
      <w:pPr>
        <w:jc w:val="both"/>
        <w:rPr>
          <w:color w:val="000000" w:themeColor="text1"/>
          <w:lang w:val="en-GB"/>
        </w:rPr>
      </w:pPr>
    </w:p>
    <w:p w14:paraId="4FC11E59" w14:textId="77777777" w:rsidR="00DB6E02" w:rsidRPr="00011E92" w:rsidRDefault="00DB6E02" w:rsidP="00DB6E02">
      <w:pPr>
        <w:jc w:val="both"/>
        <w:rPr>
          <w:rFonts w:ascii="Times" w:hAnsi="Times"/>
          <w:b/>
          <w:color w:val="000000" w:themeColor="text1"/>
          <w:lang w:val="en-GB"/>
        </w:rPr>
      </w:pPr>
    </w:p>
    <w:p w14:paraId="6781329A" w14:textId="7B4A4669" w:rsidR="00DB6E02" w:rsidRDefault="00DB6E02" w:rsidP="00DB6E02">
      <w:pPr>
        <w:jc w:val="both"/>
        <w:rPr>
          <w:rFonts w:ascii="Times" w:hAnsi="Times"/>
          <w:color w:val="000000" w:themeColor="text1"/>
        </w:rPr>
      </w:pPr>
      <w:r w:rsidRPr="00DB6E02">
        <w:rPr>
          <w:rFonts w:ascii="Times" w:hAnsi="Times"/>
          <w:b/>
          <w:color w:val="000000" w:themeColor="text1"/>
        </w:rPr>
        <w:t>References</w:t>
      </w:r>
      <w:r w:rsidRPr="00DB6E02">
        <w:rPr>
          <w:rFonts w:ascii="Times" w:hAnsi="Times"/>
          <w:color w:val="000000" w:themeColor="text1"/>
        </w:rPr>
        <w:t xml:space="preserve"> </w:t>
      </w:r>
    </w:p>
    <w:p w14:paraId="6B7C16DD" w14:textId="77777777" w:rsidR="00DB6E02" w:rsidRPr="00DB6E02" w:rsidRDefault="00DB6E02" w:rsidP="00DB6E02">
      <w:pPr>
        <w:jc w:val="both"/>
        <w:rPr>
          <w:rFonts w:ascii="Times" w:hAnsi="Times"/>
          <w:color w:val="000000" w:themeColor="text1"/>
        </w:rPr>
      </w:pPr>
    </w:p>
    <w:p w14:paraId="627F195B"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Abega S-C. “La Presse et l’État. L</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exemple des Procès sur l</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Homosexualité”, </w:t>
      </w:r>
      <w:r w:rsidRPr="00DB6E02">
        <w:rPr>
          <w:rStyle w:val="None"/>
          <w:rFonts w:ascii="Times New Roman" w:hAnsi="Times New Roman" w:cs="Times New Roman"/>
          <w:i/>
          <w:iCs/>
          <w:color w:val="000000" w:themeColor="text1"/>
          <w:u w:color="000000"/>
        </w:rPr>
        <w:t>Terroirs</w:t>
      </w:r>
      <w:r w:rsidRPr="00DB6E02">
        <w:rPr>
          <w:rFonts w:ascii="Times New Roman" w:hAnsi="Times New Roman" w:cs="Times New Roman"/>
          <w:color w:val="000000" w:themeColor="text1"/>
          <w:u w:color="000000"/>
        </w:rPr>
        <w:t>, no. 1-2, 2007, pp. 95-112.</w:t>
      </w:r>
    </w:p>
    <w:p w14:paraId="40FCA8FA"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Anderson J., “Conservative Christianity, the Global South and the Battle over Sexual Orientation”, </w:t>
      </w:r>
      <w:r w:rsidRPr="00DB6E02">
        <w:rPr>
          <w:rStyle w:val="None"/>
          <w:rFonts w:ascii="Times New Roman" w:hAnsi="Times New Roman" w:cs="Times New Roman"/>
          <w:i/>
          <w:iCs/>
          <w:color w:val="000000" w:themeColor="text1"/>
          <w:u w:color="000000"/>
          <w:lang w:val="en-US"/>
        </w:rPr>
        <w:t>Third World Quarterly</w:t>
      </w:r>
      <w:r w:rsidRPr="00DB6E02">
        <w:rPr>
          <w:rFonts w:ascii="Times New Roman" w:hAnsi="Times New Roman" w:cs="Times New Roman"/>
          <w:color w:val="000000" w:themeColor="text1"/>
          <w:u w:color="000000"/>
          <w:lang w:val="en-US"/>
        </w:rPr>
        <w:t>, vol. 32, no. 9, 2011, pp. 1589-1605.</w:t>
      </w:r>
    </w:p>
    <w:p w14:paraId="37EB4E65"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Akawa M., </w:t>
      </w:r>
      <w:r w:rsidRPr="00DB6E02">
        <w:rPr>
          <w:rFonts w:ascii="Times New Roman" w:hAnsi="Times New Roman" w:cs="Times New Roman"/>
          <w:i/>
          <w:iCs/>
          <w:color w:val="000000" w:themeColor="text1"/>
          <w:u w:color="000000"/>
          <w:lang w:val="en-US"/>
        </w:rPr>
        <w:t>The Gender Politics of the Namibian Liberation Struggle</w:t>
      </w:r>
      <w:r w:rsidRPr="00DB6E02">
        <w:rPr>
          <w:rStyle w:val="None"/>
          <w:rFonts w:ascii="Times New Roman" w:hAnsi="Times New Roman" w:cs="Times New Roman"/>
          <w:color w:val="000000" w:themeColor="text1"/>
          <w:u w:color="000000"/>
          <w:lang w:val="en-US"/>
        </w:rPr>
        <w:t xml:space="preserve">, Basler, Basler Afrika Bibliographien, 2014. </w:t>
      </w:r>
    </w:p>
    <w:p w14:paraId="592B4EC8"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Amadiume I., </w:t>
      </w:r>
      <w:r w:rsidRPr="00DB6E02">
        <w:rPr>
          <w:rFonts w:ascii="Times New Roman" w:hAnsi="Times New Roman" w:cs="Times New Roman"/>
          <w:i/>
          <w:iCs/>
          <w:color w:val="000000" w:themeColor="text1"/>
          <w:u w:color="000000"/>
          <w:lang w:val="en-US"/>
        </w:rPr>
        <w:t>Male Daughters, Female Husbands: Gender and Sex in an African Society</w:t>
      </w:r>
      <w:r w:rsidRPr="00DB6E02">
        <w:rPr>
          <w:rStyle w:val="None"/>
          <w:rFonts w:ascii="Times New Roman" w:hAnsi="Times New Roman" w:cs="Times New Roman"/>
          <w:color w:val="000000" w:themeColor="text1"/>
          <w:u w:color="000000"/>
          <w:lang w:val="en-US"/>
        </w:rPr>
        <w:t xml:space="preserve">. London, United Kingdom, Emecheta, Buchi, 1987. </w:t>
      </w:r>
    </w:p>
    <w:p w14:paraId="6D7A438B"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lang w:val="en-US"/>
        </w:rPr>
        <w:t>Avanza M. and Della Sudda M., “’Ripostes Catholiques</w:t>
      </w:r>
      <w:r w:rsidRPr="00DB6E02">
        <w:rPr>
          <w:rStyle w:val="None"/>
          <w:rFonts w:ascii="Times New Roman" w:hAnsi="Times New Roman" w:cs="Times New Roman"/>
          <w:color w:val="000000" w:themeColor="text1"/>
          <w:u w:color="000000"/>
          <w:lang w:val="en-US"/>
        </w:rPr>
        <w:t>’</w:t>
      </w:r>
      <w:r w:rsidRPr="00DB6E02">
        <w:rPr>
          <w:rFonts w:ascii="Times New Roman" w:hAnsi="Times New Roman" w:cs="Times New Roman"/>
          <w:color w:val="000000" w:themeColor="text1"/>
          <w:u w:color="000000"/>
          <w:lang w:val="en-US"/>
        </w:rPr>
        <w:t xml:space="preserve">. </w:t>
      </w:r>
      <w:r w:rsidRPr="00DB6E02">
        <w:rPr>
          <w:rFonts w:ascii="Times New Roman" w:hAnsi="Times New Roman" w:cs="Times New Roman"/>
          <w:color w:val="000000" w:themeColor="text1"/>
          <w:u w:color="000000"/>
        </w:rPr>
        <w:t xml:space="preserve">Recherches Contemporaines sur les Mobilisations Conservatrices autour de Questions Sexuelles », </w:t>
      </w:r>
      <w:r w:rsidRPr="00DB6E02">
        <w:rPr>
          <w:rStyle w:val="None"/>
          <w:rFonts w:ascii="Times New Roman" w:hAnsi="Times New Roman" w:cs="Times New Roman"/>
          <w:i/>
          <w:iCs/>
          <w:color w:val="000000" w:themeColor="text1"/>
          <w:u w:color="000000"/>
        </w:rPr>
        <w:t>Genre, Sexualité &amp; Société</w:t>
      </w:r>
      <w:r w:rsidRPr="00DB6E02">
        <w:rPr>
          <w:rFonts w:ascii="Times New Roman" w:hAnsi="Times New Roman" w:cs="Times New Roman"/>
          <w:color w:val="000000" w:themeColor="text1"/>
          <w:u w:color="000000"/>
        </w:rPr>
        <w:t xml:space="preserve"> (18), 2017, http://journals.openedition.org/gss/4118 (15 November 2020).</w:t>
      </w:r>
    </w:p>
    <w:p w14:paraId="067E1320"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rPr>
      </w:pPr>
      <w:r w:rsidRPr="00DB6E02">
        <w:rPr>
          <w:rStyle w:val="None"/>
          <w:rFonts w:ascii="Times New Roman" w:hAnsi="Times New Roman" w:cs="Times New Roman"/>
          <w:color w:val="000000" w:themeColor="text1"/>
        </w:rPr>
        <w:t xml:space="preserve">Awondo P., </w:t>
      </w:r>
      <w:r w:rsidRPr="00DB6E02">
        <w:rPr>
          <w:rFonts w:ascii="Times New Roman" w:hAnsi="Times New Roman" w:cs="Times New Roman"/>
          <w:i/>
          <w:iCs/>
          <w:color w:val="000000" w:themeColor="text1"/>
        </w:rPr>
        <w:t>Le Sexe et Ses Doubles. Homosexualités en Postcolonie</w:t>
      </w:r>
      <w:r w:rsidRPr="00DB6E02">
        <w:rPr>
          <w:rStyle w:val="None"/>
          <w:rFonts w:ascii="Times New Roman" w:hAnsi="Times New Roman" w:cs="Times New Roman"/>
          <w:color w:val="000000" w:themeColor="text1"/>
        </w:rPr>
        <w:t xml:space="preserve">, Lyon, ENS Éditions, 2019.  </w:t>
      </w:r>
    </w:p>
    <w:p w14:paraId="2DB06E32"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lang w:val="en-US"/>
        </w:rPr>
      </w:pPr>
      <w:r w:rsidRPr="00DB6E02">
        <w:rPr>
          <w:rFonts w:ascii="Times New Roman" w:hAnsi="Times New Roman" w:cs="Times New Roman"/>
          <w:color w:val="000000" w:themeColor="text1"/>
          <w:lang w:val="en-US"/>
        </w:rPr>
        <w:t xml:space="preserve">Awondo P., “Religious Leadership and the Re-Politicisation of Gender and Sexuality in Cameroon”, </w:t>
      </w:r>
      <w:r w:rsidRPr="00DB6E02">
        <w:rPr>
          <w:rStyle w:val="None"/>
          <w:rFonts w:ascii="Times New Roman" w:hAnsi="Times New Roman" w:cs="Times New Roman"/>
          <w:i/>
          <w:iCs/>
          <w:color w:val="000000" w:themeColor="text1"/>
          <w:lang w:val="en-US"/>
        </w:rPr>
        <w:t>Journal of Theology for Southern Africa</w:t>
      </w:r>
      <w:r w:rsidRPr="00DB6E02">
        <w:rPr>
          <w:rStyle w:val="None"/>
          <w:rFonts w:ascii="Times New Roman" w:hAnsi="Times New Roman" w:cs="Times New Roman"/>
          <w:color w:val="000000" w:themeColor="text1"/>
          <w:lang w:val="en-US"/>
        </w:rPr>
        <w:t>,</w:t>
      </w:r>
      <w:r w:rsidRPr="00DB6E02">
        <w:rPr>
          <w:rFonts w:ascii="Times New Roman" w:hAnsi="Times New Roman" w:cs="Times New Roman"/>
          <w:color w:val="000000" w:themeColor="text1"/>
          <w:lang w:val="en-US"/>
        </w:rPr>
        <w:t xml:space="preserve"> Special Issue, Sexuality in Africa, 155, 2016, pp. 105-120. </w:t>
      </w:r>
    </w:p>
    <w:p w14:paraId="64803726"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lastRenderedPageBreak/>
        <w:t>Bayart J-F., “L</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Afrique dans le Monde : Une Histoire d</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 xml:space="preserve">Extraversion”, </w:t>
      </w:r>
      <w:r w:rsidRPr="00DB6E02">
        <w:rPr>
          <w:rStyle w:val="None"/>
          <w:rFonts w:ascii="Times New Roman" w:hAnsi="Times New Roman" w:cs="Times New Roman"/>
          <w:i/>
          <w:iCs/>
          <w:color w:val="000000" w:themeColor="text1"/>
          <w:u w:color="000000"/>
        </w:rPr>
        <w:t>Critique Internationale</w:t>
      </w:r>
      <w:r w:rsidRPr="00DB6E02">
        <w:rPr>
          <w:rFonts w:ascii="Times New Roman" w:hAnsi="Times New Roman" w:cs="Times New Roman"/>
          <w:color w:val="000000" w:themeColor="text1"/>
          <w:u w:color="000000"/>
        </w:rPr>
        <w:t>, vol. 5, no. 1, 1999, pp. 97‑120.</w:t>
      </w:r>
    </w:p>
    <w:p w14:paraId="25D0957B"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Bouilly E., Dutoya V. and Saiget M., </w:t>
      </w:r>
      <w:r w:rsidRPr="00DB6E02">
        <w:rPr>
          <w:rFonts w:ascii="Times New Roman" w:hAnsi="Times New Roman" w:cs="Times New Roman"/>
          <w:i/>
          <w:iCs/>
          <w:color w:val="000000" w:themeColor="text1"/>
          <w:u w:color="000000"/>
          <w:lang w:val="en-US"/>
        </w:rPr>
        <w:t>Gender Knowledge in the Global South</w:t>
      </w:r>
      <w:r w:rsidRPr="00DB6E02">
        <w:rPr>
          <w:rStyle w:val="None"/>
          <w:rFonts w:ascii="Times New Roman" w:hAnsi="Times New Roman" w:cs="Times New Roman"/>
          <w:color w:val="000000" w:themeColor="text1"/>
          <w:u w:color="000000"/>
          <w:lang w:val="en-US"/>
        </w:rPr>
        <w:t xml:space="preserve">, </w:t>
      </w:r>
      <w:r w:rsidRPr="00DB6E02">
        <w:rPr>
          <w:rFonts w:ascii="Times New Roman" w:hAnsi="Times New Roman" w:cs="Times New Roman"/>
          <w:i/>
          <w:iCs/>
          <w:color w:val="000000" w:themeColor="text1"/>
          <w:u w:color="000000"/>
          <w:lang w:val="en-US"/>
        </w:rPr>
        <w:t>Journal of International Women's Studies</w:t>
      </w:r>
      <w:r w:rsidRPr="00DB6E02">
        <w:rPr>
          <w:rStyle w:val="None"/>
          <w:rFonts w:ascii="Times New Roman" w:hAnsi="Times New Roman" w:cs="Times New Roman"/>
          <w:color w:val="000000" w:themeColor="text1"/>
          <w:u w:color="000000"/>
          <w:lang w:val="en-US"/>
        </w:rPr>
        <w:t>, to be published in 2021.</w:t>
      </w:r>
    </w:p>
    <w:p w14:paraId="4E036002"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Bouilly E. and Rillon O., “Relire les Décolonisations d</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 xml:space="preserve">Afrique Francophone au Prisme du Genre”, </w:t>
      </w:r>
      <w:r w:rsidRPr="00DB6E02">
        <w:rPr>
          <w:rStyle w:val="None"/>
          <w:rFonts w:ascii="Times New Roman" w:hAnsi="Times New Roman" w:cs="Times New Roman"/>
          <w:i/>
          <w:iCs/>
          <w:color w:val="000000" w:themeColor="text1"/>
          <w:u w:color="000000"/>
        </w:rPr>
        <w:t>Le Mouvement Social,</w:t>
      </w:r>
      <w:r w:rsidRPr="00DB6E02">
        <w:rPr>
          <w:rFonts w:ascii="Times New Roman" w:hAnsi="Times New Roman" w:cs="Times New Roman"/>
          <w:color w:val="000000" w:themeColor="text1"/>
          <w:u w:color="000000"/>
        </w:rPr>
        <w:t xml:space="preserve"> vol. 255, no. 2, 2016, pp. 3-16.</w:t>
      </w:r>
    </w:p>
    <w:p w14:paraId="7286FBC6"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Carnac R., “L</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 xml:space="preserve">Innovation Théologique de Jean-Paul II dans le Domaine de la Sexualité”, in Rochefort F. and Sanna M. E. (eds.), </w:t>
      </w:r>
      <w:r w:rsidRPr="00DB6E02">
        <w:rPr>
          <w:rStyle w:val="None"/>
          <w:rFonts w:ascii="Times New Roman" w:hAnsi="Times New Roman" w:cs="Times New Roman"/>
          <w:i/>
          <w:iCs/>
          <w:color w:val="000000" w:themeColor="text1"/>
          <w:u w:color="000000"/>
        </w:rPr>
        <w:t>Normes Religieuses et Genre. Mutations, Résistances et Reconfiguration – XIXe-XXIe Siècle</w:t>
      </w:r>
      <w:r w:rsidRPr="00DB6E02">
        <w:rPr>
          <w:rFonts w:ascii="Times New Roman" w:hAnsi="Times New Roman" w:cs="Times New Roman"/>
          <w:color w:val="000000" w:themeColor="text1"/>
          <w:u w:color="000000"/>
        </w:rPr>
        <w:t>, Armand Colin, 2013, pp. 97-108.</w:t>
      </w:r>
    </w:p>
    <w:p w14:paraId="3F75CCF9"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rPr>
      </w:pPr>
      <w:r w:rsidRPr="00DB6E02">
        <w:rPr>
          <w:rStyle w:val="None"/>
          <w:rFonts w:ascii="Times New Roman" w:hAnsi="Times New Roman" w:cs="Times New Roman"/>
          <w:color w:val="000000" w:themeColor="text1"/>
          <w:u w:color="000000"/>
        </w:rPr>
        <w:t xml:space="preserve">Cîrstocea I., Lacombe D. and Marteu E., </w:t>
      </w:r>
      <w:r w:rsidRPr="00DB6E02">
        <w:rPr>
          <w:rFonts w:ascii="Times New Roman" w:hAnsi="Times New Roman" w:cs="Times New Roman"/>
          <w:i/>
          <w:iCs/>
          <w:color w:val="000000" w:themeColor="text1"/>
          <w:u w:color="000000"/>
        </w:rPr>
        <w:t>La Globalisation du Genre. Mobilisations, Cadres d</w:t>
      </w:r>
      <w:r w:rsidRPr="00DB6E02">
        <w:rPr>
          <w:rFonts w:ascii="Times New Roman" w:hAnsi="Times New Roman" w:cs="Times New Roman"/>
          <w:i/>
          <w:iCs/>
          <w:color w:val="000000" w:themeColor="text1"/>
          <w:u w:color="000000"/>
          <w:rtl/>
        </w:rPr>
        <w:t>’</w:t>
      </w:r>
      <w:r w:rsidRPr="00DB6E02">
        <w:rPr>
          <w:rFonts w:ascii="Times New Roman" w:hAnsi="Times New Roman" w:cs="Times New Roman"/>
          <w:i/>
          <w:iCs/>
          <w:color w:val="000000" w:themeColor="text1"/>
          <w:u w:color="000000"/>
        </w:rPr>
        <w:t>Actions, Savoirs</w:t>
      </w:r>
      <w:r w:rsidRPr="00DB6E02">
        <w:rPr>
          <w:rStyle w:val="None"/>
          <w:rFonts w:ascii="Times New Roman" w:hAnsi="Times New Roman" w:cs="Times New Roman"/>
          <w:color w:val="000000" w:themeColor="text1"/>
          <w:u w:color="000000"/>
        </w:rPr>
        <w:t xml:space="preserve">. Rennes, PUR, 2018.  </w:t>
      </w:r>
    </w:p>
    <w:p w14:paraId="2545319E"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Clemens E-S., “Organizational Repertoires and Institutional Change: Women</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 xml:space="preserve">s Groups and the Transformation of U.S. Politics, 1890-1920”, </w:t>
      </w:r>
      <w:r w:rsidRPr="00DB6E02">
        <w:rPr>
          <w:rStyle w:val="None"/>
          <w:rFonts w:ascii="Times New Roman" w:hAnsi="Times New Roman" w:cs="Times New Roman"/>
          <w:i/>
          <w:iCs/>
          <w:color w:val="000000" w:themeColor="text1"/>
          <w:u w:color="000000"/>
        </w:rPr>
        <w:t>American Journal of Sociology</w:t>
      </w:r>
      <w:r w:rsidRPr="00DB6E02">
        <w:rPr>
          <w:rFonts w:ascii="Times New Roman" w:hAnsi="Times New Roman" w:cs="Times New Roman"/>
          <w:color w:val="000000" w:themeColor="text1"/>
          <w:u w:color="000000"/>
        </w:rPr>
        <w:t>, vol. 98, no. 4, 1993, pp. 755</w:t>
      </w:r>
      <w:r w:rsidRPr="00DB6E02">
        <w:rPr>
          <w:rStyle w:val="None"/>
          <w:rFonts w:ascii="Times New Roman" w:hAnsi="Times New Roman" w:cs="Times New Roman"/>
          <w:color w:val="000000" w:themeColor="text1"/>
          <w:u w:color="000000"/>
        </w:rPr>
        <w:t>‑</w:t>
      </w:r>
      <w:r w:rsidRPr="00DB6E02">
        <w:rPr>
          <w:rFonts w:ascii="Times New Roman" w:hAnsi="Times New Roman" w:cs="Times New Roman"/>
          <w:color w:val="000000" w:themeColor="text1"/>
          <w:u w:color="000000"/>
        </w:rPr>
        <w:t>98.</w:t>
      </w:r>
    </w:p>
    <w:p w14:paraId="6A8D46F9"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Correâ S., Paternotte D. and Kuhar R., “The Globalisation of Anti-Gender Campaigns: Transnational Anti-Gender Movements in Europe and Latin America Create Unlikely Alliances”, </w:t>
      </w:r>
      <w:r w:rsidRPr="00DB6E02">
        <w:rPr>
          <w:rStyle w:val="None"/>
          <w:rFonts w:ascii="Times New Roman" w:hAnsi="Times New Roman" w:cs="Times New Roman"/>
          <w:i/>
          <w:iCs/>
          <w:color w:val="000000" w:themeColor="text1"/>
          <w:u w:color="000000"/>
          <w:lang w:val="en-US"/>
        </w:rPr>
        <w:t>International Politics and Society</w:t>
      </w:r>
      <w:r w:rsidRPr="00DB6E02">
        <w:rPr>
          <w:rFonts w:ascii="Times New Roman" w:hAnsi="Times New Roman" w:cs="Times New Roman"/>
          <w:color w:val="000000" w:themeColor="text1"/>
          <w:u w:color="000000"/>
          <w:lang w:val="en-US"/>
        </w:rPr>
        <w:t xml:space="preserve">, 2018 – accessible at </w:t>
      </w:r>
      <w:hyperlink r:id="rId16" w:history="1">
        <w:r w:rsidRPr="00DB6E02">
          <w:rPr>
            <w:rStyle w:val="Hyperlink1"/>
            <w:rFonts w:ascii="Times New Roman" w:hAnsi="Times New Roman" w:cs="Times New Roman"/>
            <w:color w:val="000000" w:themeColor="text1"/>
            <w:u w:color="000000"/>
            <w:lang w:val="en-US"/>
          </w:rPr>
          <w:t>https://www.ips-journal.eu/topics/human-rights/the-globalisation-of-anti-gender-campaigns-2761/</w:t>
        </w:r>
      </w:hyperlink>
      <w:r w:rsidRPr="00DB6E02">
        <w:rPr>
          <w:rFonts w:ascii="Times New Roman" w:hAnsi="Times New Roman" w:cs="Times New Roman"/>
          <w:color w:val="000000" w:themeColor="text1"/>
          <w:u w:color="000000"/>
          <w:lang w:val="en-US"/>
        </w:rPr>
        <w:t xml:space="preserve"> </w:t>
      </w:r>
    </w:p>
    <w:p w14:paraId="48E8B0B9"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Corredor E-S., “Unpacking </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lang w:val="en-US"/>
        </w:rPr>
        <w:t>Gender Ideology’ and the Global Right</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lang w:val="en-US"/>
        </w:rPr>
        <w:t xml:space="preserve">s Antigender Countermovement”, </w:t>
      </w:r>
      <w:r w:rsidRPr="00DB6E02">
        <w:rPr>
          <w:rStyle w:val="None"/>
          <w:rFonts w:ascii="Times New Roman" w:hAnsi="Times New Roman" w:cs="Times New Roman"/>
          <w:i/>
          <w:iCs/>
          <w:color w:val="000000" w:themeColor="text1"/>
          <w:u w:color="000000"/>
          <w:lang w:val="en-US"/>
        </w:rPr>
        <w:t>Signs: Journal of Women in Culture and Society</w:t>
      </w:r>
      <w:r w:rsidRPr="00DB6E02">
        <w:rPr>
          <w:rFonts w:ascii="Times New Roman" w:hAnsi="Times New Roman" w:cs="Times New Roman"/>
          <w:color w:val="000000" w:themeColor="text1"/>
          <w:u w:color="000000"/>
          <w:lang w:val="en-US"/>
        </w:rPr>
        <w:t xml:space="preserve">, vol. 44, no. 3, 2019. </w:t>
      </w:r>
    </w:p>
    <w:p w14:paraId="21D08320"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 xml:space="preserve">Dupret B. and Ferrié J-N., “Morale ou Nature. Négocier la Qualification de la Faute dans une Affaire Égyptienne d’Homosexualité”, </w:t>
      </w:r>
      <w:r w:rsidRPr="00DB6E02">
        <w:rPr>
          <w:rStyle w:val="None"/>
          <w:rFonts w:ascii="Times New Roman" w:hAnsi="Times New Roman" w:cs="Times New Roman"/>
          <w:i/>
          <w:iCs/>
          <w:color w:val="000000" w:themeColor="text1"/>
          <w:u w:color="000000"/>
        </w:rPr>
        <w:t>Négociations</w:t>
      </w:r>
      <w:r w:rsidRPr="00DB6E02">
        <w:rPr>
          <w:rFonts w:ascii="Times New Roman" w:hAnsi="Times New Roman" w:cs="Times New Roman"/>
          <w:color w:val="000000" w:themeColor="text1"/>
          <w:u w:color="000000"/>
        </w:rPr>
        <w:t>, vol. 2, no. 2, 2004, pp. 41-57.</w:t>
      </w:r>
    </w:p>
    <w:p w14:paraId="574314E7"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Ekeocha O., </w:t>
      </w:r>
      <w:r w:rsidRPr="00DB6E02">
        <w:rPr>
          <w:rFonts w:ascii="Times New Roman" w:hAnsi="Times New Roman" w:cs="Times New Roman"/>
          <w:i/>
          <w:iCs/>
          <w:color w:val="000000" w:themeColor="text1"/>
          <w:u w:color="000000"/>
          <w:lang w:val="en-US"/>
        </w:rPr>
        <w:t>Target Africa: Ideological Neocolonialism of the Twenty-First Century</w:t>
      </w:r>
      <w:r w:rsidRPr="00DB6E02">
        <w:rPr>
          <w:rStyle w:val="None"/>
          <w:rFonts w:ascii="Times New Roman" w:hAnsi="Times New Roman" w:cs="Times New Roman"/>
          <w:color w:val="000000" w:themeColor="text1"/>
          <w:u w:color="000000"/>
          <w:lang w:val="en-US"/>
        </w:rPr>
        <w:t xml:space="preserve">, San Francisco: Ignatius, 2018. </w:t>
      </w:r>
    </w:p>
    <w:p w14:paraId="4385B730"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rPr>
      </w:pPr>
      <w:r w:rsidRPr="00DB6E02">
        <w:rPr>
          <w:rStyle w:val="None"/>
          <w:rFonts w:ascii="Times New Roman" w:hAnsi="Times New Roman" w:cs="Times New Roman"/>
          <w:color w:val="000000" w:themeColor="text1"/>
        </w:rPr>
        <w:t>Falquet J., “</w:t>
      </w:r>
      <w:r w:rsidRPr="00DB6E02">
        <w:rPr>
          <w:rFonts w:ascii="Times New Roman" w:hAnsi="Times New Roman" w:cs="Times New Roman"/>
          <w:color w:val="000000" w:themeColor="text1"/>
        </w:rPr>
        <w:t xml:space="preserve">L'ONU, Alliée des Femmes ? Une Analyse Féministe du Système des Organisations Internationales”, </w:t>
      </w:r>
      <w:r w:rsidRPr="00DB6E02">
        <w:rPr>
          <w:rStyle w:val="None"/>
          <w:rFonts w:ascii="Times New Roman" w:hAnsi="Times New Roman" w:cs="Times New Roman"/>
          <w:i/>
          <w:iCs/>
          <w:color w:val="000000" w:themeColor="text1"/>
        </w:rPr>
        <w:t>Multitudes</w:t>
      </w:r>
      <w:r w:rsidRPr="00DB6E02">
        <w:rPr>
          <w:rStyle w:val="None"/>
          <w:rFonts w:ascii="Times New Roman" w:hAnsi="Times New Roman" w:cs="Times New Roman"/>
          <w:color w:val="000000" w:themeColor="text1"/>
        </w:rPr>
        <w:t>, vol. 1, no. 11, 2003, pp. 179-191.</w:t>
      </w:r>
    </w:p>
    <w:p w14:paraId="7BD17B09"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 xml:space="preserve">Fassin E., “Campagnes Anti-Genre, Populisme et Néolibéralisme en Europe et en Amérique Latine”, </w:t>
      </w:r>
      <w:r w:rsidRPr="00DB6E02">
        <w:rPr>
          <w:rStyle w:val="None"/>
          <w:rFonts w:ascii="Times New Roman" w:hAnsi="Times New Roman" w:cs="Times New Roman"/>
          <w:i/>
          <w:iCs/>
          <w:color w:val="000000" w:themeColor="text1"/>
          <w:u w:color="000000"/>
        </w:rPr>
        <w:t>Revue Internationale et Stratégique</w:t>
      </w:r>
      <w:r w:rsidRPr="00DB6E02">
        <w:rPr>
          <w:rFonts w:ascii="Times New Roman" w:hAnsi="Times New Roman" w:cs="Times New Roman"/>
          <w:color w:val="000000" w:themeColor="text1"/>
          <w:u w:color="000000"/>
        </w:rPr>
        <w:t>, vol. 119, no. 3, 2020, pp. 79‑87.</w:t>
      </w:r>
    </w:p>
    <w:p w14:paraId="2E69F6DD"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 xml:space="preserve">Husson A-C., “Stratégies Lexicales et Argumentatives dans le Discours Anti-Genre : Le Lexique de VigiGender”, in Patternotte D., van der Dussen S. and Piette V. (eds.), </w:t>
      </w:r>
      <w:r w:rsidRPr="00DB6E02">
        <w:rPr>
          <w:rStyle w:val="None"/>
          <w:rFonts w:ascii="Times New Roman" w:hAnsi="Times New Roman" w:cs="Times New Roman"/>
          <w:i/>
          <w:iCs/>
          <w:color w:val="000000" w:themeColor="text1"/>
          <w:u w:color="000000"/>
        </w:rPr>
        <w:t>Habemus Gender! Déconstruction d</w:t>
      </w:r>
      <w:r w:rsidRPr="00DB6E02">
        <w:rPr>
          <w:rStyle w:val="None"/>
          <w:rFonts w:ascii="Times New Roman" w:hAnsi="Times New Roman" w:cs="Times New Roman"/>
          <w:i/>
          <w:iCs/>
          <w:color w:val="000000" w:themeColor="text1"/>
          <w:u w:color="000000"/>
          <w:rtl/>
        </w:rPr>
        <w:t>’</w:t>
      </w:r>
      <w:r w:rsidRPr="00DB6E02">
        <w:rPr>
          <w:rStyle w:val="None"/>
          <w:rFonts w:ascii="Times New Roman" w:hAnsi="Times New Roman" w:cs="Times New Roman"/>
          <w:i/>
          <w:iCs/>
          <w:color w:val="000000" w:themeColor="text1"/>
          <w:u w:color="000000"/>
        </w:rPr>
        <w:t>une Riposte Religieuse</w:t>
      </w:r>
      <w:r w:rsidRPr="00DB6E02">
        <w:rPr>
          <w:rFonts w:ascii="Times New Roman" w:hAnsi="Times New Roman" w:cs="Times New Roman"/>
          <w:color w:val="000000" w:themeColor="text1"/>
          <w:u w:color="000000"/>
        </w:rPr>
        <w:t>, Éditions de l</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Université de Bruxelles, pp. 93-108.</w:t>
      </w:r>
    </w:p>
    <w:p w14:paraId="32305A06" w14:textId="77777777" w:rsidR="00DB6E02" w:rsidRPr="00DB6E02" w:rsidRDefault="00F36E33"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hyperlink r:id="rId17" w:history="1">
        <w:r w:rsidR="00DB6E02" w:rsidRPr="00DB6E02">
          <w:rPr>
            <w:rStyle w:val="Hyperlink1"/>
            <w:rFonts w:ascii="Times New Roman" w:hAnsi="Times New Roman" w:cs="Times New Roman"/>
            <w:color w:val="000000" w:themeColor="text1"/>
            <w:u w:color="000000"/>
          </w:rPr>
          <w:t>Jaunait</w:t>
        </w:r>
      </w:hyperlink>
      <w:r w:rsidR="00DB6E02" w:rsidRPr="00DB6E02">
        <w:rPr>
          <w:rFonts w:ascii="Times New Roman" w:hAnsi="Times New Roman" w:cs="Times New Roman"/>
          <w:color w:val="000000" w:themeColor="text1"/>
          <w:u w:color="000000"/>
        </w:rPr>
        <w:t xml:space="preserve"> A., Le Renard A. and Marteu E., “Nationalismes sexuels ? Reconfigurations Contemporaines des Sexualités et des Nationalismes”, </w:t>
      </w:r>
      <w:hyperlink r:id="rId18" w:history="1">
        <w:r w:rsidR="00DB6E02" w:rsidRPr="00DB6E02">
          <w:rPr>
            <w:rStyle w:val="Hyperlink2"/>
            <w:rFonts w:ascii="Times New Roman" w:hAnsi="Times New Roman" w:cs="Times New Roman"/>
            <w:color w:val="000000" w:themeColor="text1"/>
            <w:u w:color="000000"/>
          </w:rPr>
          <w:t>Raisons Politiques</w:t>
        </w:r>
      </w:hyperlink>
      <w:r w:rsidR="00DB6E02" w:rsidRPr="00DB6E02">
        <w:rPr>
          <w:rFonts w:ascii="Times New Roman" w:hAnsi="Times New Roman" w:cs="Times New Roman"/>
          <w:color w:val="000000" w:themeColor="text1"/>
          <w:u w:color="000000"/>
        </w:rPr>
        <w:t>, Vol. 1, no. 49, 2013, pp. 5-23.</w:t>
      </w:r>
    </w:p>
    <w:p w14:paraId="03FA5493"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Kaoma K., </w:t>
      </w:r>
      <w:r w:rsidRPr="00DB6E02">
        <w:rPr>
          <w:rFonts w:ascii="Times New Roman" w:hAnsi="Times New Roman" w:cs="Times New Roman"/>
          <w:i/>
          <w:iCs/>
          <w:color w:val="000000" w:themeColor="text1"/>
          <w:u w:color="000000"/>
          <w:lang w:val="en-US"/>
        </w:rPr>
        <w:t>Globalizing the Culture Wars: U.S. Conservatives, African Churches, and Homophobia</w:t>
      </w:r>
      <w:r w:rsidRPr="00DB6E02">
        <w:rPr>
          <w:rStyle w:val="None"/>
          <w:rFonts w:ascii="Times New Roman" w:hAnsi="Times New Roman" w:cs="Times New Roman"/>
          <w:color w:val="000000" w:themeColor="text1"/>
          <w:u w:color="000000"/>
          <w:lang w:val="en-US"/>
        </w:rPr>
        <w:t xml:space="preserve">, Political Research Associates, 2009. </w:t>
      </w:r>
    </w:p>
    <w:p w14:paraId="358B4E50"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 “The Vatican Anti-Gender Theory and Sexual Politics: An African Response”, </w:t>
      </w:r>
      <w:r w:rsidRPr="00DB6E02">
        <w:rPr>
          <w:rStyle w:val="Hyperlink2"/>
          <w:rFonts w:ascii="Times New Roman" w:hAnsi="Times New Roman" w:cs="Times New Roman"/>
          <w:color w:val="000000" w:themeColor="text1"/>
          <w:u w:color="000000"/>
          <w:lang w:val="en-US"/>
        </w:rPr>
        <w:t xml:space="preserve">Religion and Gender, </w:t>
      </w:r>
      <w:r w:rsidRPr="00DB6E02">
        <w:rPr>
          <w:rFonts w:ascii="Times New Roman" w:hAnsi="Times New Roman" w:cs="Times New Roman"/>
          <w:color w:val="000000" w:themeColor="text1"/>
          <w:u w:color="000000"/>
          <w:lang w:val="en-US"/>
        </w:rPr>
        <w:t>vol. 6, no. 2, 2016, pp. 282‑92.</w:t>
      </w:r>
    </w:p>
    <w:p w14:paraId="3C4834C5"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Klinken A.V and Ezra C., </w:t>
      </w:r>
      <w:r w:rsidRPr="00DB6E02">
        <w:rPr>
          <w:rFonts w:ascii="Times New Roman" w:hAnsi="Times New Roman" w:cs="Times New Roman"/>
          <w:i/>
          <w:iCs/>
          <w:color w:val="000000" w:themeColor="text1"/>
          <w:u w:color="000000"/>
          <w:lang w:val="en-US"/>
        </w:rPr>
        <w:t>Public Religion and the Politics</w:t>
      </w:r>
      <w:r w:rsidRPr="00DB6E02">
        <w:rPr>
          <w:rStyle w:val="None"/>
          <w:rFonts w:ascii="Times New Roman" w:hAnsi="Times New Roman" w:cs="Times New Roman"/>
          <w:color w:val="000000" w:themeColor="text1"/>
          <w:u w:color="000000"/>
          <w:lang w:val="en-US"/>
        </w:rPr>
        <w:t xml:space="preserve"> of</w:t>
      </w:r>
      <w:r w:rsidRPr="00DB6E02">
        <w:rPr>
          <w:rFonts w:ascii="Times New Roman" w:hAnsi="Times New Roman" w:cs="Times New Roman"/>
          <w:i/>
          <w:iCs/>
          <w:color w:val="000000" w:themeColor="text1"/>
          <w:u w:color="000000"/>
          <w:lang w:val="en-US"/>
        </w:rPr>
        <w:t xml:space="preserve"> Homosexuality in Africa</w:t>
      </w:r>
      <w:r w:rsidRPr="00DB6E02">
        <w:rPr>
          <w:rStyle w:val="None"/>
          <w:rFonts w:ascii="Times New Roman" w:hAnsi="Times New Roman" w:cs="Times New Roman"/>
          <w:color w:val="000000" w:themeColor="text1"/>
          <w:u w:color="000000"/>
          <w:lang w:val="en-US"/>
        </w:rPr>
        <w:t xml:space="preserve">. Routledge, 2016. </w:t>
      </w:r>
    </w:p>
    <w:p w14:paraId="391D3E03" w14:textId="77777777" w:rsidR="00DB6E02" w:rsidRPr="00DB6E02" w:rsidRDefault="00DB6E02" w:rsidP="00DB6E02">
      <w:pPr>
        <w:pStyle w:val="Default"/>
        <w:spacing w:before="0" w:line="240" w:lineRule="auto"/>
        <w:ind w:left="284" w:right="278" w:hanging="284"/>
        <w:jc w:val="both"/>
        <w:rPr>
          <w:rFonts w:ascii="Times New Roman" w:eastAsia="Helvetica"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K</w:t>
      </w:r>
      <w:r w:rsidRPr="00DB6E02">
        <w:rPr>
          <w:rFonts w:ascii="Times New Roman" w:hAnsi="Times New Roman" w:cs="Times New Roman"/>
          <w:color w:val="000000" w:themeColor="text1"/>
          <w:u w:color="000000"/>
          <w:lang w:val="en-US"/>
        </w:rPr>
        <w:t>ováts E. and Petó A., “Anti-Gender Discourse in Hungary: A Discourse without a Movement?”, in Kuhar R. and Paternotte D., 2017, pp. 117-31.</w:t>
      </w:r>
    </w:p>
    <w:p w14:paraId="31E0C7C4"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Kuhar R. and Paternotte D. (eds.), </w:t>
      </w:r>
      <w:r w:rsidRPr="00DB6E02">
        <w:rPr>
          <w:rFonts w:ascii="Times New Roman" w:hAnsi="Times New Roman" w:cs="Times New Roman"/>
          <w:i/>
          <w:iCs/>
          <w:color w:val="000000" w:themeColor="text1"/>
          <w:u w:color="000000"/>
          <w:lang w:val="en-US"/>
        </w:rPr>
        <w:t>Anti-Gender Campaigns in Europe: Mobilizing Against Equality</w:t>
      </w:r>
      <w:r w:rsidRPr="00DB6E02">
        <w:rPr>
          <w:rStyle w:val="None"/>
          <w:rFonts w:ascii="Times New Roman" w:hAnsi="Times New Roman" w:cs="Times New Roman"/>
          <w:color w:val="000000" w:themeColor="text1"/>
          <w:u w:color="000000"/>
          <w:lang w:val="en-US"/>
        </w:rPr>
        <w:t xml:space="preserve">, London, Rowman &amp; Littlefield International, 2017. </w:t>
      </w:r>
    </w:p>
    <w:p w14:paraId="175C7968"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Latourès A., “‘Je Suis Presque Féministe, Mais...</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 xml:space="preserve">. Appropriation de la Cause des Femmes par des Militantes Maliennes au Forum Social Mondial de Nairobi (2007)”, </w:t>
      </w:r>
      <w:r w:rsidRPr="00DB6E02">
        <w:rPr>
          <w:rStyle w:val="Hyperlink2"/>
          <w:rFonts w:ascii="Times New Roman" w:hAnsi="Times New Roman" w:cs="Times New Roman"/>
          <w:color w:val="000000" w:themeColor="text1"/>
          <w:u w:color="000000"/>
        </w:rPr>
        <w:t>Politique Africaine</w:t>
      </w:r>
      <w:r w:rsidRPr="00DB6E02">
        <w:rPr>
          <w:rFonts w:ascii="Times New Roman" w:hAnsi="Times New Roman" w:cs="Times New Roman"/>
          <w:color w:val="000000" w:themeColor="text1"/>
          <w:u w:color="000000"/>
        </w:rPr>
        <w:t>, vol. 116, no. 4, 2009, pp. 143-163.</w:t>
      </w:r>
    </w:p>
    <w:p w14:paraId="51AA3E08"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lastRenderedPageBreak/>
        <w:t xml:space="preserve">Meyer D-S. and Staggenborg S., “Movements, Countermovements, and the Structure of Political Opportunity”, </w:t>
      </w:r>
      <w:r w:rsidRPr="00DB6E02">
        <w:rPr>
          <w:rStyle w:val="Hyperlink2"/>
          <w:rFonts w:ascii="Times New Roman" w:hAnsi="Times New Roman" w:cs="Times New Roman"/>
          <w:color w:val="000000" w:themeColor="text1"/>
          <w:u w:color="000000"/>
          <w:lang w:val="en-US"/>
        </w:rPr>
        <w:t>American Journal of Sociology</w:t>
      </w:r>
      <w:r w:rsidRPr="00DB6E02">
        <w:rPr>
          <w:rFonts w:ascii="Times New Roman" w:hAnsi="Times New Roman" w:cs="Times New Roman"/>
          <w:color w:val="000000" w:themeColor="text1"/>
          <w:u w:color="000000"/>
          <w:lang w:val="en-US"/>
        </w:rPr>
        <w:t xml:space="preserve">, vol. 101, no. 6, 1996, pp. 1628-60. </w:t>
      </w:r>
    </w:p>
    <w:p w14:paraId="0B1A9C0A"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rPr>
      </w:pPr>
      <w:r w:rsidRPr="00DB6E02">
        <w:rPr>
          <w:rStyle w:val="None"/>
          <w:rFonts w:ascii="Times New Roman" w:hAnsi="Times New Roman" w:cs="Times New Roman"/>
          <w:color w:val="000000" w:themeColor="text1"/>
          <w:u w:color="000000"/>
        </w:rPr>
        <w:t>N</w:t>
      </w:r>
      <w:r w:rsidRPr="00DB6E02">
        <w:rPr>
          <w:rStyle w:val="None"/>
          <w:rFonts w:ascii="Times New Roman" w:hAnsi="Times New Roman" w:cs="Times New Roman"/>
          <w:color w:val="000000" w:themeColor="text1"/>
          <w:u w:color="000000"/>
          <w:rtl/>
        </w:rPr>
        <w:t>’</w:t>
      </w:r>
      <w:r w:rsidRPr="00DB6E02">
        <w:rPr>
          <w:rStyle w:val="None"/>
          <w:rFonts w:ascii="Times New Roman" w:hAnsi="Times New Roman" w:cs="Times New Roman"/>
          <w:color w:val="000000" w:themeColor="text1"/>
          <w:u w:color="000000"/>
        </w:rPr>
        <w:t xml:space="preserve">Diaye M., </w:t>
      </w:r>
      <w:r w:rsidRPr="00DB6E02">
        <w:rPr>
          <w:rFonts w:ascii="Times New Roman" w:hAnsi="Times New Roman" w:cs="Times New Roman"/>
          <w:i/>
          <w:iCs/>
          <w:color w:val="000000" w:themeColor="text1"/>
          <w:u w:color="000000"/>
        </w:rPr>
        <w:t>La Réforme du Droit de la Famille. Une Comparaison Sénégal-Maroc</w:t>
      </w:r>
      <w:r w:rsidRPr="00DB6E02">
        <w:rPr>
          <w:rStyle w:val="None"/>
          <w:rFonts w:ascii="Times New Roman" w:hAnsi="Times New Roman" w:cs="Times New Roman"/>
          <w:color w:val="000000" w:themeColor="text1"/>
          <w:u w:color="000000"/>
        </w:rPr>
        <w:t>, Montreal, Les Presses de l</w:t>
      </w:r>
      <w:r w:rsidRPr="00DB6E02">
        <w:rPr>
          <w:rStyle w:val="None"/>
          <w:rFonts w:ascii="Times New Roman" w:hAnsi="Times New Roman" w:cs="Times New Roman"/>
          <w:color w:val="000000" w:themeColor="text1"/>
          <w:u w:color="000000"/>
          <w:rtl/>
        </w:rPr>
        <w:t>’</w:t>
      </w:r>
      <w:r w:rsidRPr="00DB6E02">
        <w:rPr>
          <w:rStyle w:val="None"/>
          <w:rFonts w:ascii="Times New Roman" w:hAnsi="Times New Roman" w:cs="Times New Roman"/>
          <w:color w:val="000000" w:themeColor="text1"/>
          <w:u w:color="000000"/>
        </w:rPr>
        <w:t>Université de Montréal, 2016.</w:t>
      </w:r>
    </w:p>
    <w:p w14:paraId="16E0EB06"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Oyewùmí O., “Conceptualizing Gender: The Eurocentric Foundations of Feminist Concepts and the Challenge of African Epistemologies”, </w:t>
      </w:r>
      <w:r w:rsidRPr="00DB6E02">
        <w:rPr>
          <w:rStyle w:val="Hyperlink2"/>
          <w:rFonts w:ascii="Times New Roman" w:hAnsi="Times New Roman" w:cs="Times New Roman"/>
          <w:color w:val="000000" w:themeColor="text1"/>
          <w:u w:color="000000"/>
          <w:lang w:val="en-US"/>
        </w:rPr>
        <w:t>JENDA</w:t>
      </w:r>
      <w:r w:rsidRPr="00DB6E02">
        <w:rPr>
          <w:rFonts w:ascii="Times New Roman" w:hAnsi="Times New Roman" w:cs="Times New Roman"/>
          <w:color w:val="000000" w:themeColor="text1"/>
          <w:u w:color="000000"/>
          <w:lang w:val="en-US"/>
        </w:rPr>
        <w:t xml:space="preserve">. </w:t>
      </w:r>
      <w:r w:rsidRPr="00DB6E02">
        <w:rPr>
          <w:rStyle w:val="Hyperlink2"/>
          <w:rFonts w:ascii="Times New Roman" w:hAnsi="Times New Roman" w:cs="Times New Roman"/>
          <w:color w:val="000000" w:themeColor="text1"/>
          <w:u w:color="000000"/>
          <w:lang w:val="en-US"/>
        </w:rPr>
        <w:t>A Journal of Culture and African Women Studies</w:t>
      </w:r>
      <w:r w:rsidRPr="00DB6E02">
        <w:rPr>
          <w:rFonts w:ascii="Times New Roman" w:hAnsi="Times New Roman" w:cs="Times New Roman"/>
          <w:color w:val="000000" w:themeColor="text1"/>
          <w:u w:color="000000"/>
          <w:lang w:val="en-US"/>
        </w:rPr>
        <w:t xml:space="preserve">, vol. 2, no. 1, 2002, online at </w:t>
      </w:r>
      <w:hyperlink r:id="rId19" w:history="1">
        <w:r w:rsidRPr="00DB6E02">
          <w:rPr>
            <w:rStyle w:val="Hyperlink0"/>
            <w:rFonts w:ascii="Times New Roman" w:hAnsi="Times New Roman" w:cs="Times New Roman"/>
            <w:color w:val="000000" w:themeColor="text1"/>
            <w:u w:color="000000"/>
            <w:lang w:val="en-US"/>
          </w:rPr>
          <w:t>http://www.codesria.org/IMG/pdf/OYEWUMI.pdf</w:t>
        </w:r>
      </w:hyperlink>
      <w:r w:rsidRPr="00DB6E02">
        <w:rPr>
          <w:rFonts w:ascii="Times New Roman" w:hAnsi="Times New Roman" w:cs="Times New Roman"/>
          <w:color w:val="000000" w:themeColor="text1"/>
          <w:u w:color="000000"/>
          <w:lang w:val="en-US"/>
        </w:rPr>
        <w:t>]</w:t>
      </w:r>
    </w:p>
    <w:p w14:paraId="4DA51248"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Style w:val="Hyperlink2"/>
          <w:rFonts w:ascii="Times New Roman" w:hAnsi="Times New Roman" w:cs="Times New Roman"/>
          <w:color w:val="000000" w:themeColor="text1"/>
          <w:u w:color="000000"/>
        </w:rPr>
        <w:t>Politix</w:t>
      </w:r>
      <w:r w:rsidRPr="00DB6E02">
        <w:rPr>
          <w:rFonts w:ascii="Times New Roman" w:hAnsi="Times New Roman" w:cs="Times New Roman"/>
          <w:color w:val="000000" w:themeColor="text1"/>
          <w:u w:color="000000"/>
        </w:rPr>
        <w:t>, “Mobilisations conservatrices”, vol. 2, no. 106, 2014.</w:t>
      </w:r>
    </w:p>
    <w:p w14:paraId="50BB2A79"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Siméant J., “La Transnationalisation de l</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rPr>
        <w:t xml:space="preserve">Action Collective”, in Agrikoliansk E., Sommier I. and Fillieule O. (eds.), </w:t>
      </w:r>
      <w:r w:rsidRPr="00DB6E02">
        <w:rPr>
          <w:rStyle w:val="Hyperlink2"/>
          <w:rFonts w:ascii="Times New Roman" w:hAnsi="Times New Roman" w:cs="Times New Roman"/>
          <w:color w:val="000000" w:themeColor="text1"/>
          <w:u w:color="000000"/>
        </w:rPr>
        <w:t>Penser les Mouvements Sociaux</w:t>
      </w:r>
      <w:r w:rsidRPr="00DB6E02">
        <w:rPr>
          <w:rFonts w:ascii="Times New Roman" w:hAnsi="Times New Roman" w:cs="Times New Roman"/>
          <w:color w:val="000000" w:themeColor="text1"/>
          <w:u w:color="000000"/>
        </w:rPr>
        <w:t>, Paris, La Découverte, 2010, pp. 121</w:t>
      </w:r>
      <w:r w:rsidRPr="00DB6E02">
        <w:rPr>
          <w:rStyle w:val="None"/>
          <w:rFonts w:ascii="Times New Roman" w:hAnsi="Times New Roman" w:cs="Times New Roman"/>
          <w:color w:val="000000" w:themeColor="text1"/>
          <w:u w:color="000000"/>
        </w:rPr>
        <w:t>‑</w:t>
      </w:r>
      <w:r w:rsidRPr="00DB6E02">
        <w:rPr>
          <w:rFonts w:ascii="Times New Roman" w:hAnsi="Times New Roman" w:cs="Times New Roman"/>
          <w:color w:val="000000" w:themeColor="text1"/>
          <w:u w:color="000000"/>
        </w:rPr>
        <w:t>144.</w:t>
      </w:r>
    </w:p>
    <w:p w14:paraId="37594763"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Soares B., “The Attempt to Reform Family Law in Mali”, </w:t>
      </w:r>
      <w:r w:rsidRPr="00DB6E02">
        <w:rPr>
          <w:rStyle w:val="Hyperlink2"/>
          <w:rFonts w:ascii="Times New Roman" w:hAnsi="Times New Roman" w:cs="Times New Roman"/>
          <w:color w:val="000000" w:themeColor="text1"/>
          <w:u w:color="000000"/>
          <w:lang w:val="en-US"/>
        </w:rPr>
        <w:t>Die Welt des Islams</w:t>
      </w:r>
      <w:r w:rsidRPr="00DB6E02">
        <w:rPr>
          <w:rFonts w:ascii="Times New Roman" w:hAnsi="Times New Roman" w:cs="Times New Roman"/>
          <w:color w:val="000000" w:themeColor="text1"/>
          <w:u w:color="000000"/>
          <w:lang w:val="en-US"/>
        </w:rPr>
        <w:t xml:space="preserve">, New Series, vol. 49, nos. 3-4, 2009, pp. 398-428. </w:t>
      </w:r>
    </w:p>
    <w:p w14:paraId="77147C39"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u w:color="000000"/>
        </w:rPr>
        <w:t xml:space="preserve">Sow F., “Mouvements Féministes en Afrique. Entretien avec Fatou Sow”, </w:t>
      </w:r>
      <w:r w:rsidRPr="00DB6E02">
        <w:rPr>
          <w:rStyle w:val="Hyperlink2"/>
          <w:rFonts w:ascii="Times New Roman" w:hAnsi="Times New Roman" w:cs="Times New Roman"/>
          <w:color w:val="000000" w:themeColor="text1"/>
          <w:u w:color="000000"/>
        </w:rPr>
        <w:t>Revue Tiers Monde</w:t>
      </w:r>
      <w:r w:rsidRPr="00DB6E02">
        <w:rPr>
          <w:rFonts w:ascii="Times New Roman" w:hAnsi="Times New Roman" w:cs="Times New Roman"/>
          <w:color w:val="000000" w:themeColor="text1"/>
          <w:u w:color="000000"/>
        </w:rPr>
        <w:t>, vol. 209, no. 1, 2012, pp. 145-160.</w:t>
      </w:r>
    </w:p>
    <w:p w14:paraId="67EEA00C" w14:textId="77777777" w:rsidR="00DB6E02" w:rsidRPr="00DB6E02" w:rsidRDefault="00DB6E02" w:rsidP="00DB6E02">
      <w:pPr>
        <w:pStyle w:val="Default"/>
        <w:spacing w:before="0" w:line="240" w:lineRule="auto"/>
        <w:ind w:left="284" w:right="278" w:hanging="284"/>
        <w:jc w:val="both"/>
        <w:rPr>
          <w:rFonts w:ascii="Times New Roman" w:eastAsia="Times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Van Klinken A. and Zebracki, M. </w:t>
      </w:r>
      <w:r w:rsidRPr="00DB6E02">
        <w:rPr>
          <w:rFonts w:ascii="Times New Roman" w:hAnsi="Times New Roman" w:cs="Times New Roman"/>
          <w:color w:val="000000" w:themeColor="text1"/>
          <w:u w:color="000000"/>
          <w:rtl/>
        </w:rPr>
        <w:t>“</w:t>
      </w:r>
      <w:r w:rsidRPr="00DB6E02">
        <w:rPr>
          <w:rFonts w:ascii="Times New Roman" w:hAnsi="Times New Roman" w:cs="Times New Roman"/>
          <w:color w:val="000000" w:themeColor="text1"/>
          <w:u w:color="000000"/>
          <w:lang w:val="en-US"/>
        </w:rPr>
        <w:t>Porn in Church: Moral Geographies of Homosexuality in Uganda”, Porn Studies, vol. 3, no. 1, 2016, pp. 89-92.</w:t>
      </w:r>
    </w:p>
    <w:p w14:paraId="487EEA9D"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rPr>
      </w:pPr>
      <w:r w:rsidRPr="00DB6E02">
        <w:rPr>
          <w:rStyle w:val="None"/>
          <w:rFonts w:ascii="Times New Roman" w:hAnsi="Times New Roman" w:cs="Times New Roman"/>
          <w:color w:val="000000" w:themeColor="text1"/>
          <w:u w:color="000000"/>
        </w:rPr>
        <w:t xml:space="preserve">Vairel F., </w:t>
      </w:r>
      <w:r w:rsidRPr="00DB6E02">
        <w:rPr>
          <w:rFonts w:ascii="Times New Roman" w:hAnsi="Times New Roman" w:cs="Times New Roman"/>
          <w:i/>
          <w:iCs/>
          <w:color w:val="000000" w:themeColor="text1"/>
          <w:u w:color="000000"/>
        </w:rPr>
        <w:t>Politique et Mouvements Sociaux au Maroc. La Révolution Désamorcé</w:t>
      </w:r>
      <w:r w:rsidRPr="00DB6E02">
        <w:rPr>
          <w:rFonts w:ascii="Times New Roman" w:hAnsi="Times New Roman" w:cs="Times New Roman"/>
          <w:i/>
          <w:iCs/>
          <w:color w:val="000000" w:themeColor="text1"/>
          <w:u w:color="000000"/>
          <w:lang w:eastAsia="zh-TW"/>
        </w:rPr>
        <w:t>e  ?</w:t>
      </w:r>
      <w:r w:rsidRPr="00DB6E02">
        <w:rPr>
          <w:rStyle w:val="None"/>
          <w:rFonts w:ascii="Times New Roman" w:hAnsi="Times New Roman" w:cs="Times New Roman"/>
          <w:color w:val="000000" w:themeColor="text1"/>
          <w:u w:color="000000"/>
        </w:rPr>
        <w:t xml:space="preserve"> Paris, Presses de Sciences Po, 2014. </w:t>
      </w:r>
    </w:p>
    <w:p w14:paraId="47FB6559"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rPr>
      </w:pPr>
      <w:r w:rsidRPr="00DB6E02">
        <w:rPr>
          <w:rFonts w:ascii="Times New Roman" w:hAnsi="Times New Roman" w:cs="Times New Roman"/>
          <w:color w:val="000000" w:themeColor="text1"/>
        </w:rPr>
        <w:t xml:space="preserve">Verschuur C., “Quel Genre </w:t>
      </w:r>
      <w:r w:rsidRPr="00DB6E02">
        <w:rPr>
          <w:rFonts w:ascii="Times New Roman" w:hAnsi="Times New Roman" w:cs="Times New Roman"/>
          <w:color w:val="000000" w:themeColor="text1"/>
          <w:lang w:eastAsia="zh-TW"/>
        </w:rPr>
        <w:t>? R</w:t>
      </w:r>
      <w:r w:rsidRPr="00DB6E02">
        <w:rPr>
          <w:rFonts w:ascii="Times New Roman" w:hAnsi="Times New Roman" w:cs="Times New Roman"/>
          <w:color w:val="000000" w:themeColor="text1"/>
        </w:rPr>
        <w:t>ésistances et Mésententes autour du Mot “Genre” dans le Développement”, </w:t>
      </w:r>
      <w:r w:rsidRPr="00DB6E02">
        <w:rPr>
          <w:rStyle w:val="Hyperlink2"/>
          <w:rFonts w:ascii="Times New Roman" w:hAnsi="Times New Roman" w:cs="Times New Roman"/>
          <w:color w:val="000000" w:themeColor="text1"/>
        </w:rPr>
        <w:t>Revue Tiers Monde</w:t>
      </w:r>
      <w:r w:rsidRPr="00DB6E02">
        <w:rPr>
          <w:rFonts w:ascii="Times New Roman" w:hAnsi="Times New Roman" w:cs="Times New Roman"/>
          <w:color w:val="000000" w:themeColor="text1"/>
        </w:rPr>
        <w:t>, vol. 4, no. 200, 2009, pp. 785-803.</w:t>
      </w:r>
    </w:p>
    <w:p w14:paraId="126BD8C8" w14:textId="77777777" w:rsidR="00DB6E02" w:rsidRPr="00DB6E02" w:rsidRDefault="00DB6E02" w:rsidP="00DB6E02">
      <w:pPr>
        <w:pStyle w:val="Default"/>
        <w:spacing w:before="0" w:line="240" w:lineRule="auto"/>
        <w:ind w:left="284" w:right="278" w:hanging="284"/>
        <w:jc w:val="both"/>
        <w:rPr>
          <w:rStyle w:val="None"/>
          <w:rFonts w:ascii="Times New Roman" w:eastAsia="Times Roman" w:hAnsi="Times New Roman" w:cs="Times New Roman"/>
          <w:color w:val="000000" w:themeColor="text1"/>
          <w:u w:color="000000"/>
          <w:lang w:val="en-US"/>
        </w:rPr>
      </w:pPr>
      <w:r w:rsidRPr="00DB6E02">
        <w:rPr>
          <w:rStyle w:val="None"/>
          <w:rFonts w:ascii="Times New Roman" w:hAnsi="Times New Roman" w:cs="Times New Roman"/>
          <w:color w:val="000000" w:themeColor="text1"/>
          <w:u w:color="000000"/>
          <w:lang w:val="en-US"/>
        </w:rPr>
        <w:t xml:space="preserve">Vince N., </w:t>
      </w:r>
      <w:r w:rsidRPr="00DB6E02">
        <w:rPr>
          <w:rFonts w:ascii="Times New Roman" w:hAnsi="Times New Roman" w:cs="Times New Roman"/>
          <w:i/>
          <w:iCs/>
          <w:color w:val="000000" w:themeColor="text1"/>
          <w:u w:color="000000"/>
          <w:lang w:val="en-US"/>
        </w:rPr>
        <w:t>Our Fighting Sisters. Nation, Memory and Gender in Algeria, 1954-2012</w:t>
      </w:r>
      <w:r w:rsidRPr="00DB6E02">
        <w:rPr>
          <w:rStyle w:val="None"/>
          <w:rFonts w:ascii="Times New Roman" w:hAnsi="Times New Roman" w:cs="Times New Roman"/>
          <w:color w:val="000000" w:themeColor="text1"/>
          <w:u w:color="000000"/>
          <w:lang w:val="en-US"/>
        </w:rPr>
        <w:t xml:space="preserve">, Manchester, Michigan University Press, 2015. </w:t>
      </w:r>
    </w:p>
    <w:p w14:paraId="4E683524" w14:textId="77777777" w:rsidR="00DB6E02" w:rsidRPr="00DB6E02" w:rsidRDefault="00DB6E02" w:rsidP="00DB6E02">
      <w:pPr>
        <w:pStyle w:val="Default"/>
        <w:spacing w:before="0" w:line="240" w:lineRule="auto"/>
        <w:ind w:left="284" w:right="278" w:hanging="284"/>
        <w:jc w:val="both"/>
        <w:rPr>
          <w:rFonts w:ascii="Times New Roman" w:hAnsi="Times New Roman" w:cs="Times New Roman"/>
          <w:color w:val="000000" w:themeColor="text1"/>
          <w:u w:color="000000"/>
          <w:lang w:val="en-US"/>
        </w:rPr>
      </w:pPr>
      <w:r w:rsidRPr="00DB6E02">
        <w:rPr>
          <w:rFonts w:ascii="Times New Roman" w:hAnsi="Times New Roman" w:cs="Times New Roman"/>
          <w:color w:val="000000" w:themeColor="text1"/>
          <w:u w:color="000000"/>
          <w:lang w:val="en-US"/>
        </w:rPr>
        <w:t xml:space="preserve">Wieringa S-E., “Postcolonial Amnesia: Sexual Moral Panics, Memory and Imperial Power”, in Herdt G. (ed.), </w:t>
      </w:r>
      <w:r w:rsidRPr="00DB6E02">
        <w:rPr>
          <w:rStyle w:val="Hyperlink2"/>
          <w:rFonts w:ascii="Times New Roman" w:hAnsi="Times New Roman" w:cs="Times New Roman"/>
          <w:color w:val="000000" w:themeColor="text1"/>
          <w:u w:color="000000"/>
          <w:lang w:val="en-US"/>
        </w:rPr>
        <w:t>Moral Panics, Sex Panics, Fear and the Fight over Sexual Rights</w:t>
      </w:r>
      <w:r w:rsidRPr="00DB6E02">
        <w:rPr>
          <w:rFonts w:ascii="Times New Roman" w:hAnsi="Times New Roman" w:cs="Times New Roman"/>
          <w:color w:val="000000" w:themeColor="text1"/>
          <w:u w:color="000000"/>
          <w:lang w:val="en-US"/>
        </w:rPr>
        <w:t>, New York, New York University Press, 2009, pp. 205-233.</w:t>
      </w:r>
    </w:p>
    <w:p w14:paraId="40E05356" w14:textId="77777777" w:rsidR="00DB6E02" w:rsidRPr="00DB6E02" w:rsidRDefault="00DB6E02">
      <w:pPr>
        <w:pStyle w:val="Paragraphedeliste"/>
        <w:spacing w:after="120" w:line="240" w:lineRule="auto"/>
        <w:ind w:left="0" w:firstLine="284"/>
        <w:jc w:val="both"/>
        <w:rPr>
          <w:b/>
          <w:color w:val="000000" w:themeColor="text1"/>
          <w:sz w:val="28"/>
          <w:szCs w:val="28"/>
          <w:lang w:val="en-GB"/>
        </w:rPr>
      </w:pPr>
    </w:p>
    <w:p w14:paraId="7BAD7CC6" w14:textId="77777777" w:rsidR="006C6C87" w:rsidRPr="004B090E" w:rsidRDefault="006C6C87">
      <w:pPr>
        <w:rPr>
          <w:color w:val="000000" w:themeColor="text1"/>
          <w:lang w:val="en-US"/>
        </w:rPr>
      </w:pPr>
    </w:p>
    <w:sectPr w:rsidR="006C6C87" w:rsidRPr="004B090E">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88EED" w14:textId="77777777" w:rsidR="00F36E33" w:rsidRDefault="00F36E33" w:rsidP="00DB6E02">
      <w:r>
        <w:separator/>
      </w:r>
    </w:p>
  </w:endnote>
  <w:endnote w:type="continuationSeparator" w:id="0">
    <w:p w14:paraId="45497ECA" w14:textId="77777777" w:rsidR="00F36E33" w:rsidRDefault="00F36E33" w:rsidP="00DB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Black">
    <w:altName w:val="Segoe UI Black"/>
    <w:panose1 w:val="020B0A02040204020203"/>
    <w:charset w:val="00"/>
    <w:family w:val="swiss"/>
    <w:pitch w:val="variable"/>
    <w:sig w:usb0="E00002FF" w:usb1="4000E47F" w:usb2="00000021" w:usb3="00000000" w:csb0="0000019F" w:csb1="00000000"/>
  </w:font>
  <w:font w:name="Times">
    <w:altName w:val="Times"/>
    <w:panose1 w:val="00000500000000020000"/>
    <w:charset w:val="00"/>
    <w:family w:val="auto"/>
    <w:pitch w:val="variable"/>
    <w:sig w:usb0="E00002FF" w:usb1="5000205A" w:usb2="00000000" w:usb3="00000000" w:csb0="0000019F" w:csb1="00000000"/>
  </w:font>
  <w:font w:name="Times Roman">
    <w:altName w:val="Times New Roman"/>
    <w:panose1 w:val="00000500000000020000"/>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132DE" w14:textId="77777777" w:rsidR="00F36E33" w:rsidRDefault="00F36E33" w:rsidP="00DB6E02">
      <w:r>
        <w:separator/>
      </w:r>
    </w:p>
  </w:footnote>
  <w:footnote w:type="continuationSeparator" w:id="0">
    <w:p w14:paraId="2E168BB3" w14:textId="77777777" w:rsidR="00F36E33" w:rsidRDefault="00F36E33" w:rsidP="00DB6E02">
      <w:r>
        <w:continuationSeparator/>
      </w:r>
    </w:p>
  </w:footnote>
  <w:footnote w:id="1">
    <w:p w14:paraId="0ECB80AB" w14:textId="77777777" w:rsidR="00DB6E02" w:rsidRPr="004D3966" w:rsidRDefault="00DB6E02" w:rsidP="00DB6E02">
      <w:pPr>
        <w:pStyle w:val="Footnote"/>
        <w:jc w:val="both"/>
        <w:rPr>
          <w:color w:val="000000" w:themeColor="text1"/>
          <w:lang w:val="fr-CM"/>
        </w:rPr>
      </w:pPr>
      <w:r w:rsidRPr="00BD426B">
        <w:rPr>
          <w:rFonts w:ascii="Times New Roman" w:eastAsia="Times New Roman" w:hAnsi="Times New Roman" w:cs="Times New Roman"/>
          <w:color w:val="000000" w:themeColor="text1"/>
          <w:sz w:val="20"/>
          <w:szCs w:val="20"/>
          <w:vertAlign w:val="superscript"/>
        </w:rPr>
        <w:footnoteRef/>
      </w:r>
      <w:r w:rsidRPr="004D3966">
        <w:rPr>
          <w:rFonts w:ascii="Times New Roman" w:hAnsi="Times New Roman"/>
          <w:color w:val="000000" w:themeColor="text1"/>
          <w:sz w:val="20"/>
          <w:szCs w:val="20"/>
          <w:lang w:val="fr-CM"/>
        </w:rPr>
        <w:t xml:space="preserve"> A. Faivre, “Kenya, Le Si Long Chemin des Féministes 4: Ce Tabou de l</w:t>
      </w:r>
      <w:r w:rsidRPr="00BD426B">
        <w:rPr>
          <w:rFonts w:ascii="Times New Roman" w:hAnsi="Times New Roman"/>
          <w:color w:val="000000" w:themeColor="text1"/>
          <w:sz w:val="20"/>
          <w:szCs w:val="20"/>
          <w:rtl/>
        </w:rPr>
        <w:t>’</w:t>
      </w:r>
      <w:r w:rsidRPr="004D3966">
        <w:rPr>
          <w:rFonts w:ascii="Times New Roman" w:hAnsi="Times New Roman"/>
          <w:color w:val="000000" w:themeColor="text1"/>
          <w:sz w:val="20"/>
          <w:szCs w:val="20"/>
          <w:lang w:val="fr-CM"/>
        </w:rPr>
        <w:t xml:space="preserve">Avortement”, Le Point.fr, 25 September 2019, accessible online at </w:t>
      </w:r>
      <w:hyperlink r:id="rId1" w:history="1">
        <w:r w:rsidRPr="004D3966">
          <w:rPr>
            <w:rStyle w:val="Hyperlink0"/>
            <w:rFonts w:ascii="Times New Roman" w:hAnsi="Times New Roman"/>
            <w:color w:val="000000" w:themeColor="text1"/>
            <w:sz w:val="20"/>
            <w:szCs w:val="20"/>
            <w:lang w:val="fr-CM"/>
          </w:rPr>
          <w:t>https://www.lepoint.fr/afrique/kenya-le-si-long-chemin-des-feministes-4-ce-tabou-de-l-avortement-25-09-2019-2337753_3826.php</w:t>
        </w:r>
      </w:hyperlink>
    </w:p>
  </w:footnote>
  <w:footnote w:id="2">
    <w:p w14:paraId="3013EAC0" w14:textId="77777777" w:rsidR="00DB6E02" w:rsidRPr="004D3966" w:rsidRDefault="00DB6E02" w:rsidP="00DB6E02">
      <w:pPr>
        <w:pStyle w:val="Footnote"/>
        <w:jc w:val="both"/>
        <w:rPr>
          <w:color w:val="000000" w:themeColor="text1"/>
          <w:lang w:val="fr-CM"/>
        </w:rPr>
      </w:pPr>
      <w:r w:rsidRPr="00BD426B">
        <w:rPr>
          <w:rStyle w:val="None"/>
          <w:rFonts w:ascii="Times New Roman" w:eastAsia="Times New Roman" w:hAnsi="Times New Roman" w:cs="Times New Roman"/>
          <w:color w:val="000000" w:themeColor="text1"/>
          <w:sz w:val="20"/>
          <w:szCs w:val="20"/>
          <w:vertAlign w:val="superscript"/>
        </w:rPr>
        <w:footnoteRef/>
      </w:r>
      <w:r w:rsidRPr="004D3966">
        <w:rPr>
          <w:rFonts w:ascii="Times New Roman" w:hAnsi="Times New Roman"/>
          <w:color w:val="000000" w:themeColor="text1"/>
          <w:sz w:val="20"/>
          <w:szCs w:val="20"/>
          <w:lang w:val="fr-CM"/>
        </w:rPr>
        <w:t xml:space="preserve"> J. Baret, “Cameroun, un Manuel Scolaire Place l</w:t>
      </w:r>
      <w:r w:rsidRPr="00BD426B">
        <w:rPr>
          <w:rFonts w:ascii="Times New Roman" w:hAnsi="Times New Roman"/>
          <w:color w:val="000000" w:themeColor="text1"/>
          <w:sz w:val="20"/>
          <w:szCs w:val="20"/>
          <w:rtl/>
        </w:rPr>
        <w:t>’</w:t>
      </w:r>
      <w:r w:rsidRPr="004D3966">
        <w:rPr>
          <w:rFonts w:ascii="Times New Roman" w:hAnsi="Times New Roman"/>
          <w:color w:val="000000" w:themeColor="text1"/>
          <w:sz w:val="20"/>
          <w:szCs w:val="20"/>
          <w:lang w:val="fr-CM"/>
        </w:rPr>
        <w:t xml:space="preserve">Homosexualité au Rang de Pratique Déviante”, Konbini, 14 March 2018, </w:t>
      </w:r>
      <w:hyperlink r:id="rId2" w:history="1">
        <w:r w:rsidRPr="004D3966">
          <w:rPr>
            <w:rStyle w:val="Hyperlink0"/>
            <w:rFonts w:ascii="Times New Roman" w:hAnsi="Times New Roman"/>
            <w:color w:val="000000" w:themeColor="text1"/>
            <w:sz w:val="20"/>
            <w:szCs w:val="20"/>
            <w:lang w:val="fr-CM"/>
          </w:rPr>
          <w:t>https://news.konbini.com/post/cameroun-manuel-scolaire-homosexualite-pratiques-deviantes</w:t>
        </w:r>
      </w:hyperlink>
      <w:r w:rsidRPr="004D3966">
        <w:rPr>
          <w:rFonts w:ascii="Times New Roman" w:hAnsi="Times New Roman"/>
          <w:color w:val="000000" w:themeColor="text1"/>
          <w:sz w:val="20"/>
          <w:szCs w:val="20"/>
          <w:lang w:val="fr-CM"/>
        </w:rPr>
        <w:t xml:space="preserve"> </w:t>
      </w:r>
    </w:p>
  </w:footnote>
  <w:footnote w:id="3">
    <w:p w14:paraId="07219E4C" w14:textId="77777777" w:rsidR="00DB6E02" w:rsidRPr="00BD426B" w:rsidRDefault="00DB6E02" w:rsidP="00DB6E02">
      <w:pPr>
        <w:pStyle w:val="Footnote"/>
        <w:jc w:val="both"/>
      </w:pPr>
      <w:r w:rsidRPr="00BD426B">
        <w:rPr>
          <w:rStyle w:val="None"/>
          <w:rFonts w:ascii="Times New Roman" w:eastAsia="Times New Roman" w:hAnsi="Times New Roman" w:cs="Times New Roman"/>
          <w:sz w:val="20"/>
          <w:szCs w:val="20"/>
          <w:vertAlign w:val="superscript"/>
        </w:rPr>
        <w:footnoteRef/>
      </w:r>
      <w:r w:rsidRPr="00BD426B">
        <w:rPr>
          <w:rFonts w:ascii="Times New Roman" w:hAnsi="Times New Roman"/>
          <w:sz w:val="20"/>
          <w:szCs w:val="20"/>
        </w:rPr>
        <w:t xml:space="preserve"> We are well aware that these notions of pro-</w:t>
      </w:r>
      <w:r>
        <w:rPr>
          <w:rFonts w:ascii="Times New Roman" w:hAnsi="Times New Roman"/>
          <w:sz w:val="20"/>
          <w:szCs w:val="20"/>
        </w:rPr>
        <w:t xml:space="preserve"> and</w:t>
      </w:r>
      <w:r w:rsidRPr="00BD426B">
        <w:rPr>
          <w:rFonts w:ascii="Times New Roman" w:hAnsi="Times New Roman"/>
          <w:sz w:val="20"/>
          <w:szCs w:val="20"/>
        </w:rPr>
        <w:t xml:space="preserve"> anti-gender refer back to a militant division of </w:t>
      </w:r>
      <w:proofErr w:type="gramStart"/>
      <w:r w:rsidRPr="00BD426B">
        <w:rPr>
          <w:rFonts w:ascii="Times New Roman" w:hAnsi="Times New Roman"/>
          <w:sz w:val="20"/>
          <w:szCs w:val="20"/>
        </w:rPr>
        <w:t>a</w:t>
      </w:r>
      <w:proofErr w:type="gramEnd"/>
      <w:r w:rsidRPr="00BD426B">
        <w:rPr>
          <w:rFonts w:ascii="Times New Roman" w:hAnsi="Times New Roman"/>
          <w:sz w:val="20"/>
          <w:szCs w:val="20"/>
        </w:rPr>
        <w:t xml:space="preserve"> emic, and not academic, nature (Garbagnoli and Prearo, 2017). Despite this, we have chosen not to exclude them</w:t>
      </w:r>
      <w:r>
        <w:rPr>
          <w:rFonts w:ascii="Times New Roman" w:hAnsi="Times New Roman"/>
          <w:sz w:val="20"/>
          <w:szCs w:val="20"/>
        </w:rPr>
        <w:t xml:space="preserve">, </w:t>
      </w:r>
      <w:r w:rsidRPr="00BD426B">
        <w:rPr>
          <w:rFonts w:ascii="Times New Roman" w:hAnsi="Times New Roman"/>
          <w:sz w:val="20"/>
          <w:szCs w:val="20"/>
        </w:rPr>
        <w:t xml:space="preserve">as we believe they reveal a category of discourse </w:t>
      </w:r>
      <w:r>
        <w:rPr>
          <w:rFonts w:ascii="Times New Roman" w:hAnsi="Times New Roman"/>
          <w:sz w:val="20"/>
          <w:szCs w:val="20"/>
        </w:rPr>
        <w:t xml:space="preserve">that has been </w:t>
      </w:r>
      <w:r w:rsidRPr="00BD426B">
        <w:rPr>
          <w:rFonts w:ascii="Times New Roman" w:hAnsi="Times New Roman"/>
          <w:sz w:val="20"/>
          <w:szCs w:val="20"/>
        </w:rPr>
        <w:t>mobilised by certain of the actors we have studied.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945BF1"/>
    <w:multiLevelType w:val="multilevel"/>
    <w:tmpl w:val="C8804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4318C4"/>
    <w:multiLevelType w:val="multilevel"/>
    <w:tmpl w:val="96DAC6AE"/>
    <w:lvl w:ilvl="0">
      <w:start w:val="14"/>
      <w:numFmt w:val="bullet"/>
      <w:lvlText w:val="-"/>
      <w:lvlJc w:val="left"/>
      <w:pPr>
        <w:ind w:left="72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81"/>
    <w:rsid w:val="00011E92"/>
    <w:rsid w:val="000F2D71"/>
    <w:rsid w:val="0017382F"/>
    <w:rsid w:val="001C3BA7"/>
    <w:rsid w:val="004B090E"/>
    <w:rsid w:val="004C1543"/>
    <w:rsid w:val="004D5ACA"/>
    <w:rsid w:val="005C1489"/>
    <w:rsid w:val="006C6C87"/>
    <w:rsid w:val="007C4CC5"/>
    <w:rsid w:val="00A00081"/>
    <w:rsid w:val="00BC6C66"/>
    <w:rsid w:val="00C20D89"/>
    <w:rsid w:val="00C869EA"/>
    <w:rsid w:val="00DB6E02"/>
    <w:rsid w:val="00F36E33"/>
    <w:rsid w:val="00F9451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7CEF"/>
  <w15:docId w15:val="{8FF38FE8-FB9A-407E-A64F-150C08AD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E02"/>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80654"/>
    <w:rPr>
      <w:b/>
      <w:bCs/>
    </w:rPr>
  </w:style>
  <w:style w:type="character" w:customStyle="1" w:styleId="InternetLink">
    <w:name w:val="Internet Link"/>
    <w:basedOn w:val="Policepardfaut"/>
    <w:uiPriority w:val="99"/>
    <w:semiHidden/>
    <w:unhideWhenUsed/>
    <w:rsid w:val="00D80654"/>
    <w:rPr>
      <w:color w:val="0000FF"/>
      <w:u w:val="single"/>
    </w:rPr>
  </w:style>
  <w:style w:type="character" w:customStyle="1" w:styleId="ListLabel1">
    <w:name w:val="ListLabel 1"/>
    <w:qFormat/>
    <w:rPr>
      <w:rFonts w:eastAsia="Calibri"/>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style>
  <w:style w:type="character" w:customStyle="1" w:styleId="ListLabel6">
    <w:name w:val="ListLabel 6"/>
    <w:qFormat/>
    <w:rPr>
      <w:b w:val="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style>
  <w:style w:type="character" w:customStyle="1" w:styleId="ListLabel143">
    <w:name w:val="ListLabel 143"/>
    <w:qFormat/>
    <w:rPr>
      <w:rFonts w:ascii="Georgia" w:hAnsi="Georgia"/>
      <w:b/>
      <w:caps/>
      <w:sz w:val="32"/>
      <w:szCs w:val="32"/>
      <w:u w:val="none"/>
      <w:lang w:val="fr-FR"/>
    </w:rPr>
  </w:style>
  <w:style w:type="character" w:customStyle="1" w:styleId="ListLabel144">
    <w:name w:val="ListLabel 144"/>
    <w:qFormat/>
    <w:rPr>
      <w:rFonts w:ascii="Georgia" w:hAnsi="Georgia"/>
      <w:b w:val="0"/>
      <w:bCs w:val="0"/>
      <w:color w:val="000000"/>
      <w:sz w:val="48"/>
      <w:szCs w:val="48"/>
      <w:u w:val="none"/>
    </w:rPr>
  </w:style>
  <w:style w:type="paragraph" w:customStyle="1" w:styleId="Heading">
    <w:name w:val="Heading"/>
    <w:basedOn w:val="Normal"/>
    <w:next w:val="Corpsdetexte"/>
    <w:qFormat/>
    <w:pPr>
      <w:keepNext/>
      <w:spacing w:before="240" w:after="120" w:line="259" w:lineRule="auto"/>
    </w:pPr>
    <w:rPr>
      <w:rFonts w:ascii="Liberation Sans" w:eastAsia="Microsoft YaHei" w:hAnsi="Liberation Sans" w:cs="Mangal"/>
      <w:sz w:val="28"/>
      <w:szCs w:val="28"/>
      <w:lang w:eastAsia="en-US"/>
    </w:rPr>
  </w:style>
  <w:style w:type="paragraph" w:styleId="Corpsdetexte">
    <w:name w:val="Body Text"/>
    <w:basedOn w:val="Normal"/>
    <w:pPr>
      <w:spacing w:after="140" w:line="276" w:lineRule="auto"/>
    </w:pPr>
    <w:rPr>
      <w:rFonts w:asciiTheme="minorHAnsi" w:eastAsiaTheme="minorHAnsi" w:hAnsiTheme="minorHAnsi" w:cstheme="minorBidi"/>
      <w:sz w:val="22"/>
      <w:szCs w:val="22"/>
      <w:lang w:eastAsia="en-US"/>
    </w:rPr>
  </w:style>
  <w:style w:type="paragraph" w:styleId="Liste">
    <w:name w:val="List"/>
    <w:basedOn w:val="Corpsdetexte"/>
    <w:rPr>
      <w:rFonts w:cs="Mangal"/>
    </w:rPr>
  </w:style>
  <w:style w:type="paragraph" w:styleId="Lgende">
    <w:name w:val="caption"/>
    <w:basedOn w:val="Normal"/>
    <w:qFormat/>
    <w:pPr>
      <w:suppressLineNumbers/>
      <w:spacing w:before="120" w:after="120" w:line="259" w:lineRule="auto"/>
    </w:pPr>
    <w:rPr>
      <w:rFonts w:asciiTheme="minorHAnsi" w:eastAsiaTheme="minorHAnsi" w:hAnsiTheme="minorHAnsi" w:cs="Mangal"/>
      <w:i/>
      <w:iCs/>
      <w:lang w:eastAsia="en-US"/>
    </w:rPr>
  </w:style>
  <w:style w:type="paragraph" w:customStyle="1" w:styleId="Index">
    <w:name w:val="Index"/>
    <w:basedOn w:val="Normal"/>
    <w:qFormat/>
    <w:pPr>
      <w:suppressLineNumbers/>
      <w:spacing w:after="160" w:line="259" w:lineRule="auto"/>
    </w:pPr>
    <w:rPr>
      <w:rFonts w:asciiTheme="minorHAnsi" w:eastAsiaTheme="minorHAnsi" w:hAnsiTheme="minorHAnsi" w:cs="Mangal"/>
      <w:sz w:val="22"/>
      <w:szCs w:val="22"/>
      <w:lang w:eastAsia="en-US"/>
    </w:rPr>
  </w:style>
  <w:style w:type="paragraph" w:styleId="Paragraphedeliste">
    <w:name w:val="List Paragraph"/>
    <w:basedOn w:val="Normal"/>
    <w:uiPriority w:val="34"/>
    <w:qFormat/>
    <w:rsid w:val="00D80654"/>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80654"/>
    <w:pPr>
      <w:spacing w:beforeAutospacing="1" w:after="160" w:afterAutospacing="1"/>
    </w:pPr>
  </w:style>
  <w:style w:type="character" w:styleId="Lienhypertexte">
    <w:name w:val="Hyperlink"/>
    <w:rsid w:val="00DB6E02"/>
    <w:rPr>
      <w:u w:val="single"/>
    </w:rPr>
  </w:style>
  <w:style w:type="paragraph" w:customStyle="1" w:styleId="Body">
    <w:name w:val="Body"/>
    <w:rsid w:val="00DB6E02"/>
    <w:pPr>
      <w:pBdr>
        <w:top w:val="nil"/>
        <w:left w:val="nil"/>
        <w:bottom w:val="nil"/>
        <w:right w:val="nil"/>
        <w:between w:val="nil"/>
        <w:bar w:val="nil"/>
      </w:pBdr>
    </w:pPr>
    <w:rPr>
      <w:rFonts w:ascii="Helvetica Neue" w:eastAsia="Arial Unicode MS" w:hAnsi="Helvetica Neue" w:cs="Arial Unicode MS"/>
      <w:color w:val="000000"/>
      <w:sz w:val="22"/>
      <w:bdr w:val="nil"/>
      <w:lang w:val="it-IT" w:eastAsia="en-GB"/>
      <w14:textOutline w14:w="0" w14:cap="flat" w14:cmpd="sng" w14:algn="ctr">
        <w14:noFill/>
        <w14:prstDash w14:val="solid"/>
        <w14:bevel/>
      </w14:textOutline>
    </w:rPr>
  </w:style>
  <w:style w:type="paragraph" w:customStyle="1" w:styleId="Footnote">
    <w:name w:val="Footnote"/>
    <w:rsid w:val="00DB6E02"/>
    <w:pPr>
      <w:pBdr>
        <w:top w:val="nil"/>
        <w:left w:val="nil"/>
        <w:bottom w:val="nil"/>
        <w:right w:val="nil"/>
        <w:between w:val="nil"/>
        <w:bar w:val="nil"/>
      </w:pBdr>
    </w:pPr>
    <w:rPr>
      <w:rFonts w:ascii="Helvetica Neue" w:eastAsia="Helvetica Neue" w:hAnsi="Helvetica Neue" w:cs="Helvetica Neue"/>
      <w:color w:val="000000"/>
      <w:sz w:val="22"/>
      <w:bdr w:val="nil"/>
      <w:lang w:val="en-GB" w:eastAsia="en-GB"/>
      <w14:textOutline w14:w="0" w14:cap="flat" w14:cmpd="sng" w14:algn="ctr">
        <w14:noFill/>
        <w14:prstDash w14:val="solid"/>
        <w14:bevel/>
      </w14:textOutline>
    </w:rPr>
  </w:style>
  <w:style w:type="character" w:customStyle="1" w:styleId="None">
    <w:name w:val="None"/>
    <w:rsid w:val="00DB6E02"/>
  </w:style>
  <w:style w:type="character" w:customStyle="1" w:styleId="Hyperlink0">
    <w:name w:val="Hyperlink.0"/>
    <w:basedOn w:val="None"/>
    <w:rsid w:val="00DB6E02"/>
    <w:rPr>
      <w:outline w:val="0"/>
      <w:color w:val="0079CD"/>
      <w:u w:val="single"/>
    </w:rPr>
  </w:style>
  <w:style w:type="paragraph" w:customStyle="1" w:styleId="Default">
    <w:name w:val="Default"/>
    <w:rsid w:val="00DB6E0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character" w:customStyle="1" w:styleId="Hyperlink1">
    <w:name w:val="Hyperlink.1"/>
    <w:basedOn w:val="Lienhypertexte"/>
    <w:rsid w:val="00DB6E02"/>
    <w:rPr>
      <w:u w:val="single"/>
    </w:rPr>
  </w:style>
  <w:style w:type="character" w:customStyle="1" w:styleId="Hyperlink2">
    <w:name w:val="Hyperlink.2"/>
    <w:basedOn w:val="None"/>
    <w:rsid w:val="00DB6E02"/>
    <w:rPr>
      <w:i/>
      <w:iCs/>
    </w:rPr>
  </w:style>
  <w:style w:type="character" w:styleId="Mentionnonrsolue">
    <w:name w:val="Unresolved Mention"/>
    <w:basedOn w:val="Policepardfaut"/>
    <w:uiPriority w:val="99"/>
    <w:semiHidden/>
    <w:unhideWhenUsed/>
    <w:rsid w:val="00DB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1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af.hypotheses.org/2934" TargetMode="External"/><Relationship Id="rId13" Type="http://schemas.openxmlformats.org/officeDocument/2006/relationships/hyperlink" Target="mailto:e.bouilly@sciencespobordeaux.fr" TargetMode="External"/><Relationship Id="rId18" Type="http://schemas.openxmlformats.org/officeDocument/2006/relationships/hyperlink" Target="https://www.cairn.info/revue-raisons-politique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pawondo2005@yahoo.fr" TargetMode="External"/><Relationship Id="rId17" Type="http://schemas.openxmlformats.org/officeDocument/2006/relationships/hyperlink" Target="https://www.cairn.info/publications-de-Alexandre-Jaunait--6278.htm" TargetMode="External"/><Relationship Id="rId2" Type="http://schemas.openxmlformats.org/officeDocument/2006/relationships/styles" Target="styles.xml"/><Relationship Id="rId16" Type="http://schemas.openxmlformats.org/officeDocument/2006/relationships/hyperlink" Target="https://www.ips-journal.eu/topics/human-rights/the-globalisation-of-anti-gender-campaigns-276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m.ndiaye@cnrs.fr" TargetMode="External"/><Relationship Id="rId5" Type="http://schemas.openxmlformats.org/officeDocument/2006/relationships/footnotes" Target="footnotes.xml"/><Relationship Id="rId15" Type="http://schemas.openxmlformats.org/officeDocument/2006/relationships/hyperlink" Target="https://polaf.hypotheses.org/soumettre-un-article/submit-to-the-journal" TargetMode="External"/><Relationship Id="rId10" Type="http://schemas.openxmlformats.org/officeDocument/2006/relationships/hyperlink" Target="mailto:e.bouilly@sciencespobordeaux.fr" TargetMode="External"/><Relationship Id="rId19" Type="http://schemas.openxmlformats.org/officeDocument/2006/relationships/hyperlink" Target="http://www.codesria.org/IMG/pdf/OYEWUMI.pdf" TargetMode="External"/><Relationship Id="rId4" Type="http://schemas.openxmlformats.org/officeDocument/2006/relationships/webSettings" Target="webSettings.xml"/><Relationship Id="rId9" Type="http://schemas.openxmlformats.org/officeDocument/2006/relationships/hyperlink" Target="mailto:pawondo2005@yahoo.fr" TargetMode="External"/><Relationship Id="rId14" Type="http://schemas.openxmlformats.org/officeDocument/2006/relationships/hyperlink" Target="mailto:mariem.ndiaye@cnrs.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ews.konbini.com/post/camero" TargetMode="External"/><Relationship Id="rId1" Type="http://schemas.openxmlformats.org/officeDocument/2006/relationships/hyperlink" Target="https://www.lepoint.fr/afr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3553</Words>
  <Characters>18547</Characters>
  <Application>Microsoft Office Word</Application>
  <DocSecurity>0</DocSecurity>
  <Lines>264</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Perrot</dc:creator>
  <dc:description/>
  <cp:lastModifiedBy>Microsoft Office User</cp:lastModifiedBy>
  <cp:revision>4</cp:revision>
  <cp:lastPrinted>2021-06-02T12:21:00Z</cp:lastPrinted>
  <dcterms:created xsi:type="dcterms:W3CDTF">2021-06-02T12:19:00Z</dcterms:created>
  <dcterms:modified xsi:type="dcterms:W3CDTF">2021-06-03T08:57:00Z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