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08E9444" w:rsidR="00D818B6" w:rsidRPr="006953B4" w:rsidRDefault="00305FF0">
      <w:pPr>
        <w:pStyle w:val="Titre"/>
        <w:jc w:val="center"/>
        <w:rPr>
          <w:sz w:val="48"/>
          <w:szCs w:val="48"/>
        </w:rPr>
      </w:pPr>
      <w:bookmarkStart w:id="0" w:name="_gfebiyjna0k" w:colFirst="0" w:colLast="0"/>
      <w:bookmarkEnd w:id="0"/>
      <w:r w:rsidRPr="006953B4">
        <w:rPr>
          <w:sz w:val="48"/>
          <w:szCs w:val="48"/>
        </w:rPr>
        <w:t>Appel à communication</w:t>
      </w:r>
      <w:r w:rsidR="008E5733">
        <w:rPr>
          <w:sz w:val="48"/>
          <w:szCs w:val="48"/>
        </w:rPr>
        <w:t xml:space="preserve"> </w:t>
      </w:r>
      <w:r w:rsidR="006953B4" w:rsidRPr="006953B4">
        <w:rPr>
          <w:sz w:val="48"/>
          <w:szCs w:val="48"/>
        </w:rPr>
        <w:t>- Journée d’étude</w:t>
      </w:r>
      <w:r w:rsidRPr="006953B4">
        <w:rPr>
          <w:sz w:val="48"/>
          <w:szCs w:val="48"/>
        </w:rPr>
        <w:t xml:space="preserve"> </w:t>
      </w:r>
    </w:p>
    <w:p w14:paraId="00000002" w14:textId="77777777" w:rsidR="00D818B6" w:rsidRDefault="00D818B6"/>
    <w:p w14:paraId="00000003" w14:textId="77777777" w:rsidR="00D818B6" w:rsidRDefault="00305FF0">
      <w:pPr>
        <w:pStyle w:val="Titre"/>
        <w:jc w:val="center"/>
        <w:rPr>
          <w:b/>
          <w:u w:val="single"/>
        </w:rPr>
      </w:pPr>
      <w:bookmarkStart w:id="1" w:name="_judw2g52jl43" w:colFirst="0" w:colLast="0"/>
      <w:bookmarkEnd w:id="1"/>
      <w:r>
        <w:rPr>
          <w:b/>
          <w:u w:val="single"/>
        </w:rPr>
        <w:t>Le pouvoir des mots</w:t>
      </w:r>
    </w:p>
    <w:p w14:paraId="00000004" w14:textId="77777777" w:rsidR="00D818B6" w:rsidRDefault="00305FF0">
      <w:pPr>
        <w:spacing w:before="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y a presque deux ans, le 16 mars 2020, le président Emmanuel Macron prononçait un discours qui allait conduire à transformer radicalement et quasi-uniformément le quotidien de 66 millions de Français : pendant deux mois, </w:t>
      </w:r>
      <w:proofErr w:type="spellStart"/>
      <w:r>
        <w:rPr>
          <w:rFonts w:ascii="Times New Roman" w:eastAsia="Times New Roman" w:hAnsi="Times New Roman" w:cs="Times New Roman"/>
          <w:sz w:val="24"/>
          <w:szCs w:val="24"/>
        </w:rPr>
        <w:t>chacun·e</w:t>
      </w:r>
      <w:proofErr w:type="spellEnd"/>
      <w:r>
        <w:rPr>
          <w:rFonts w:ascii="Times New Roman" w:eastAsia="Times New Roman" w:hAnsi="Times New Roman" w:cs="Times New Roman"/>
          <w:sz w:val="24"/>
          <w:szCs w:val="24"/>
        </w:rPr>
        <w:t xml:space="preserve"> s’est </w:t>
      </w:r>
      <w:proofErr w:type="spellStart"/>
      <w:r>
        <w:rPr>
          <w:rFonts w:ascii="Times New Roman" w:eastAsia="Times New Roman" w:hAnsi="Times New Roman" w:cs="Times New Roman"/>
          <w:sz w:val="24"/>
          <w:szCs w:val="24"/>
        </w:rPr>
        <w:t>conformé·e</w:t>
      </w:r>
      <w:proofErr w:type="spellEnd"/>
      <w:r>
        <w:rPr>
          <w:rFonts w:ascii="Times New Roman" w:eastAsia="Times New Roman" w:hAnsi="Times New Roman" w:cs="Times New Roman"/>
          <w:sz w:val="24"/>
          <w:szCs w:val="24"/>
        </w:rPr>
        <w:t xml:space="preserve"> à la norme nouvellement édictée de rester chez soi et de ne sortir qu’en cas de grande nécessité, selon des règles strictes (avec attestation justifiant le motif de sortie, dans un périmètre restreint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Ce discours, marqué par le champ lexical de la guerre, peut être qualifié de </w:t>
      </w:r>
      <w:r>
        <w:rPr>
          <w:rFonts w:ascii="Times New Roman" w:eastAsia="Times New Roman" w:hAnsi="Times New Roman" w:cs="Times New Roman"/>
          <w:i/>
          <w:sz w:val="24"/>
          <w:szCs w:val="24"/>
        </w:rPr>
        <w:t>performatif</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selon la définition donnée par John Austin ; son énonciation, adossée au statut de l’orateur (qui lui confère le droit et le pouvoir de mobiliser diverses forces </w:t>
      </w:r>
      <w:proofErr w:type="gramStart"/>
      <w:r>
        <w:rPr>
          <w:rFonts w:ascii="Times New Roman" w:eastAsia="Times New Roman" w:hAnsi="Times New Roman" w:cs="Times New Roman"/>
          <w:sz w:val="24"/>
          <w:szCs w:val="24"/>
        </w:rPr>
        <w:t>exécutives)  suffisait</w:t>
      </w:r>
      <w:proofErr w:type="gramEnd"/>
      <w:r>
        <w:rPr>
          <w:rFonts w:ascii="Times New Roman" w:eastAsia="Times New Roman" w:hAnsi="Times New Roman" w:cs="Times New Roman"/>
          <w:sz w:val="24"/>
          <w:szCs w:val="24"/>
        </w:rPr>
        <w:t xml:space="preserve"> à produire une action, celle de donner l’ordre de rester chez soi, suivie de conséquences, ici l’obéissance de la population française à cette injonction.</w:t>
      </w:r>
    </w:p>
    <w:p w14:paraId="00000005" w14:textId="77777777" w:rsidR="00D818B6" w:rsidRDefault="00305FF0">
      <w:pPr>
        <w:spacing w:before="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Dans le même temps, des mots et expressions associés soit à la pandémie de Covid-19, soit à d’autres phénomènes sociaux (pensons à la dénomination 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islamo-gauchisme » pour (dis-)qualifier l’état de la recherche en sciences sociales, en particulier des études post-coloniales) se sont massivement répandus dans les débats, à la fois par leur circulation médiatique, par les réappropriations qu’en ont fait certaines personnalités politiques et les citoyens dans leurs conversations courantes. Ces mots ne sont pourtant pas neutres : ils ont une histoire et leur genèse est socialement, si ce n’est politiquement, située ; ils charrient des représentations du monde social et peuvent parfois catégoriser celui-ci, de manière plus ou moins sournoise ; enfin, des luttes d’imposition ou de contestation de certaines notions peuvent avoir lieu, entre des individus ou des groupes d’individus appartenant à différents champs et qui reconnaissent dans les </w:t>
      </w:r>
      <w:r>
        <w:rPr>
          <w:rFonts w:ascii="Times New Roman" w:eastAsia="Times New Roman" w:hAnsi="Times New Roman" w:cs="Times New Roman"/>
          <w:i/>
          <w:sz w:val="24"/>
          <w:szCs w:val="24"/>
        </w:rPr>
        <w:t>mots</w:t>
      </w:r>
      <w:r>
        <w:rPr>
          <w:rFonts w:ascii="Times New Roman" w:eastAsia="Times New Roman" w:hAnsi="Times New Roman" w:cs="Times New Roman"/>
          <w:sz w:val="24"/>
          <w:szCs w:val="24"/>
        </w:rPr>
        <w:t xml:space="preserve"> un certain</w:t>
      </w:r>
      <w:r>
        <w:rPr>
          <w:rFonts w:ascii="Times New Roman" w:eastAsia="Times New Roman" w:hAnsi="Times New Roman" w:cs="Times New Roman"/>
          <w:i/>
          <w:sz w:val="24"/>
          <w:szCs w:val="24"/>
        </w:rPr>
        <w:t xml:space="preserve"> pouvoir</w:t>
      </w:r>
      <w:r>
        <w:rPr>
          <w:rFonts w:ascii="Times New Roman" w:eastAsia="Times New Roman" w:hAnsi="Times New Roman" w:cs="Times New Roman"/>
          <w:sz w:val="24"/>
          <w:szCs w:val="24"/>
        </w:rPr>
        <w:t xml:space="preserve">.  </w:t>
      </w:r>
    </w:p>
    <w:p w14:paraId="00000006" w14:textId="77777777" w:rsidR="00D818B6" w:rsidRDefault="00305FF0">
      <w:pPr>
        <w:spacing w:before="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D’où notre proposition de travailler sur le « pouvoir des mots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lors de cette journée d’étude organisée par le Master 2 EAPP de l’Université Lyon 2, début avril 2022. Mais, de quoi s’agit-il exactement lorsque nous parlons de « pouvoir des mots » et en quoi ce thème peut-il intéresser la recherche en sciences sociales ?</w:t>
      </w:r>
    </w:p>
    <w:p w14:paraId="00000007" w14:textId="77777777" w:rsidR="00D818B6" w:rsidRDefault="00305FF0">
      <w:pPr>
        <w:spacing w:before="24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Pierre Bourdieu, dans la continuité critique des travaux du linguiste Ferdinand de Saussure, défend dans </w:t>
      </w:r>
      <w:r>
        <w:rPr>
          <w:rFonts w:ascii="Times New Roman" w:eastAsia="Times New Roman" w:hAnsi="Times New Roman" w:cs="Times New Roman"/>
          <w:i/>
          <w:sz w:val="24"/>
          <w:szCs w:val="24"/>
        </w:rPr>
        <w:t>Ce que parler veut dire</w:t>
      </w:r>
      <w:r>
        <w:rPr>
          <w:rFonts w:ascii="Times New Roman" w:eastAsia="Times New Roman" w:hAnsi="Times New Roman" w:cs="Times New Roman"/>
          <w:sz w:val="24"/>
          <w:szCs w:val="24"/>
        </w:rPr>
        <w:t xml:space="preserve"> (1982)</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que le langage n’est ni neutre ni naturel, mais qu’il est le résultat de processus socio-historiques ayant conduit à la normalisation de la langue, comme le processus d’unification politique nationale mené par l’Etat français sous la IIIème République, aidé par son institution scolaire. Cette imposition d’une langue standard et légitime n’est pas la seule dynamique à l’œuvre : le langage est sans cesse traversé de </w:t>
      </w:r>
      <w:r>
        <w:rPr>
          <w:rFonts w:ascii="Times New Roman" w:eastAsia="Times New Roman" w:hAnsi="Times New Roman" w:cs="Times New Roman"/>
          <w:sz w:val="24"/>
          <w:szCs w:val="24"/>
        </w:rPr>
        <w:lastRenderedPageBreak/>
        <w:t>“différences classées et classantes, hiérarchisées et hiérarchisantes”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construites en homologie à celles qui structurent l’espace social. Autrement dit, le langage reproduit dans l’ordre symbolique les différences sociales, donc il est porteur de pouvoir symbolique. Ce pouvoir s’exerce sur un terrain d’exercice privilégié, la politique</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Ainsi, étudier le pouvoir des mots revient à interroger dans un premier temps les mots du pouvoir, c’est-à-dire ceux qui sont choisis et utilisés par les classes dominantes, qui contribuent à produire et reproduire le système et à le légitimer, notamment dans le cadre de l’Etat qui, rappelons-le, a non seulement le monopole de la violence physique, mais aussi de la « violence symbolique légitime »</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Il s’agira aussi d’étudier les circulations de ces mots entre différents champs, en s’intéressant tout particulièrement aux notions issues du champ économique qui se diffusent dans les champs politique et institutionnel, de telle sorte que l’idéologie néolibérale est implicitement intériorisée par une multitude d’acteurs qui vont contribuer à la renforcer.</w:t>
      </w:r>
    </w:p>
    <w:p w14:paraId="00000008" w14:textId="77777777" w:rsidR="00D818B6" w:rsidRDefault="00305FF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Suite à la déconstruction de ces mots-totem, légitimés par leur usage dans des sphères de pouvoir et diffusés dans la société avec toutes leurs </w:t>
      </w:r>
      <w:r>
        <w:rPr>
          <w:rFonts w:ascii="Times New Roman" w:eastAsia="Times New Roman" w:hAnsi="Times New Roman" w:cs="Times New Roman"/>
          <w:i/>
          <w:sz w:val="24"/>
          <w:szCs w:val="24"/>
        </w:rPr>
        <w:t xml:space="preserve">Weltanschauung </w:t>
      </w:r>
      <w:r>
        <w:rPr>
          <w:rFonts w:ascii="Times New Roman" w:eastAsia="Times New Roman" w:hAnsi="Times New Roman" w:cs="Times New Roman"/>
          <w:sz w:val="24"/>
          <w:szCs w:val="24"/>
        </w:rPr>
        <w:t>associées, nous nous intéresserons aux mots issus de sphères militantes qui critiquent lesdits mots du pouvoir, qu’il soit capitaliste, néolibéral ou patriarcal. De ces milieux contestataires et de leurs luttes émergent parfois des innovations lexicales et grammaticales qui peuvent faire changer les perceptions du monde social, ou du moins qui conduisent à des débats de société, comme c’est le cas de l’écriture inclusive ou de mots spécifiques permettant la reconnaissance de minorités ou le dévoilement d’oppressions.</w:t>
      </w:r>
    </w:p>
    <w:p w14:paraId="00000009" w14:textId="77777777" w:rsidR="00D818B6" w:rsidRDefault="00305FF0">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Ces néologismes peuvent d’ailleurs venir de recherches en sciences sociales et il s’agira de déterminer les frontières et de caractériser les luttes qui sont portées dans ces différents espaces sociaux. Dans le champ des sciences sociales justement, le rapport aux mots est d’autant plus épineux qu’il constitue un objet scientifique et que, dans le cadre d’enquêtes de terrain, le choix des mots – qui, et nous insistons, portent une vision du monde et donc peuvent informer des rapports sociaux de domination entre interlocuteurs – peut avoir des conséquences sur la recherche. Dès lors, réflexivité et précautions sont des mots d’ordre pour la pratique de la recherche en science sociale. Les méthodes d’analyse des discours, dans le cadre d’études ethnographiques et par entretiens (qualitatif) ou </w:t>
      </w:r>
      <w:proofErr w:type="spellStart"/>
      <w:r>
        <w:rPr>
          <w:rFonts w:ascii="Times New Roman" w:eastAsia="Times New Roman" w:hAnsi="Times New Roman" w:cs="Times New Roman"/>
          <w:sz w:val="24"/>
          <w:szCs w:val="24"/>
        </w:rPr>
        <w:t>lexicométriques</w:t>
      </w:r>
      <w:proofErr w:type="spellEnd"/>
      <w:r>
        <w:rPr>
          <w:rFonts w:ascii="Times New Roman" w:eastAsia="Times New Roman" w:hAnsi="Times New Roman" w:cs="Times New Roman"/>
          <w:sz w:val="24"/>
          <w:szCs w:val="24"/>
        </w:rPr>
        <w:t xml:space="preserve"> (quantitatif) peuvent être heuristiques dans de nombreux sujets de recherche et elles semblent encore assez peu utilisées par </w:t>
      </w:r>
      <w:proofErr w:type="gramStart"/>
      <w:r>
        <w:rPr>
          <w:rFonts w:ascii="Times New Roman" w:eastAsia="Times New Roman" w:hAnsi="Times New Roman" w:cs="Times New Roman"/>
          <w:sz w:val="24"/>
          <w:szCs w:val="24"/>
        </w:rPr>
        <w:t xml:space="preserve">les </w:t>
      </w:r>
      <w:proofErr w:type="spellStart"/>
      <w:r>
        <w:rPr>
          <w:rFonts w:ascii="Times New Roman" w:eastAsia="Times New Roman" w:hAnsi="Times New Roman" w:cs="Times New Roman"/>
          <w:sz w:val="24"/>
          <w:szCs w:val="24"/>
        </w:rPr>
        <w:t>chercheur</w:t>
      </w:r>
      <w:proofErr w:type="gramEnd"/>
      <w:r>
        <w:rPr>
          <w:rFonts w:ascii="Times New Roman" w:eastAsia="Times New Roman" w:hAnsi="Times New Roman" w:cs="Times New Roman"/>
          <w:sz w:val="24"/>
          <w:szCs w:val="24"/>
        </w:rPr>
        <w:t>·se·s</w:t>
      </w:r>
      <w:proofErr w:type="spellEnd"/>
      <w:r>
        <w:rPr>
          <w:rFonts w:ascii="Times New Roman" w:eastAsia="Times New Roman" w:hAnsi="Times New Roman" w:cs="Times New Roman"/>
          <w:sz w:val="24"/>
          <w:szCs w:val="24"/>
        </w:rPr>
        <w:t xml:space="preserve"> en science politique ; et ce malgré la création en 2002 d’une revue spécifiquement dédiée à cette entreprise, </w:t>
      </w:r>
      <w:r>
        <w:rPr>
          <w:rFonts w:ascii="Times New Roman" w:eastAsia="Times New Roman" w:hAnsi="Times New Roman" w:cs="Times New Roman"/>
          <w:i/>
          <w:sz w:val="24"/>
          <w:szCs w:val="24"/>
        </w:rPr>
        <w:t>Mots. Les langages du politique</w:t>
      </w:r>
      <w:r>
        <w:rPr>
          <w:rFonts w:ascii="Times New Roman" w:eastAsia="Times New Roman" w:hAnsi="Times New Roman" w:cs="Times New Roman"/>
          <w:sz w:val="24"/>
          <w:szCs w:val="24"/>
        </w:rPr>
        <w:t xml:space="preserve">. Cette journée d’étude sera l’occasion de mettre en lumière les apports de ces méthodes et ainsi d’encourager les jeunes </w:t>
      </w:r>
      <w:proofErr w:type="spellStart"/>
      <w:r>
        <w:rPr>
          <w:rFonts w:ascii="Times New Roman" w:eastAsia="Times New Roman" w:hAnsi="Times New Roman" w:cs="Times New Roman"/>
          <w:sz w:val="24"/>
          <w:szCs w:val="24"/>
        </w:rPr>
        <w:t>chercheur·se·s</w:t>
      </w:r>
      <w:proofErr w:type="spellEnd"/>
      <w:r>
        <w:rPr>
          <w:rFonts w:ascii="Times New Roman" w:eastAsia="Times New Roman" w:hAnsi="Times New Roman" w:cs="Times New Roman"/>
          <w:sz w:val="24"/>
          <w:szCs w:val="24"/>
        </w:rPr>
        <w:t xml:space="preserve"> que nous sommes à les intégrer à leurs dispositifs d’enquête.</w:t>
      </w:r>
    </w:p>
    <w:p w14:paraId="0000000A" w14:textId="77777777" w:rsidR="00D818B6" w:rsidRDefault="00D818B6">
      <w:pPr>
        <w:jc w:val="both"/>
      </w:pPr>
    </w:p>
    <w:p w14:paraId="0000000B" w14:textId="77777777" w:rsidR="00D818B6" w:rsidRDefault="00D818B6">
      <w:pPr>
        <w:spacing w:before="240" w:after="240"/>
        <w:jc w:val="both"/>
        <w:rPr>
          <w:rFonts w:ascii="Times New Roman" w:eastAsia="Times New Roman" w:hAnsi="Times New Roman" w:cs="Times New Roman"/>
        </w:rPr>
      </w:pPr>
    </w:p>
    <w:p w14:paraId="0000000C" w14:textId="77777777" w:rsidR="00D818B6" w:rsidRDefault="00D818B6">
      <w:pPr>
        <w:spacing w:before="240" w:after="240"/>
        <w:jc w:val="both"/>
        <w:rPr>
          <w:rFonts w:ascii="Times New Roman" w:eastAsia="Times New Roman" w:hAnsi="Times New Roman" w:cs="Times New Roman"/>
          <w:shd w:val="clear" w:color="auto" w:fill="FAFAFA"/>
        </w:rPr>
      </w:pPr>
    </w:p>
    <w:p w14:paraId="0000000E" w14:textId="77777777" w:rsidR="00D818B6" w:rsidRDefault="00305FF0">
      <w:pPr>
        <w:pStyle w:val="Titre1"/>
        <w:rPr>
          <w:rFonts w:ascii="Times New Roman" w:eastAsia="Times New Roman" w:hAnsi="Times New Roman" w:cs="Times New Roman"/>
          <w:sz w:val="24"/>
          <w:szCs w:val="24"/>
        </w:rPr>
      </w:pPr>
      <w:bookmarkStart w:id="2" w:name="_7ey73sq0lr7x" w:colFirst="0" w:colLast="0"/>
      <w:bookmarkEnd w:id="2"/>
      <w:r>
        <w:rPr>
          <w:rFonts w:ascii="Times New Roman" w:eastAsia="Times New Roman" w:hAnsi="Times New Roman" w:cs="Times New Roman"/>
          <w:sz w:val="24"/>
          <w:szCs w:val="24"/>
        </w:rPr>
        <w:lastRenderedPageBreak/>
        <w:t>1/ Les mots du pouvoir et leur violence symbolique</w:t>
      </w:r>
    </w:p>
    <w:p w14:paraId="0000000F" w14:textId="77777777" w:rsidR="00D818B6" w:rsidRDefault="00D818B6"/>
    <w:p w14:paraId="00000010" w14:textId="77777777" w:rsidR="00D818B6" w:rsidRDefault="00305FF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langage est une dimension centrale de l’exercice du pouvoir. Une part importante de l’action des gouvernant.es, quoique souvent dépréciée ou occultée, consiste à « dire » ce qu’ils ou elles font. A titre d’exemple, les campagnes électorales sont largement tributaires des capacités de communication du candidat ou de la candidate. Nous aimerions ainsi revenir lors de cette journée d’étude sur la façon dont le langage peut être constitué en ressource par des fractions dominantes de l’espace social. </w:t>
      </w:r>
    </w:p>
    <w:p w14:paraId="00000011" w14:textId="77777777" w:rsidR="00D818B6" w:rsidRDefault="00D818B6">
      <w:pPr>
        <w:jc w:val="both"/>
        <w:rPr>
          <w:rFonts w:ascii="Times New Roman" w:eastAsia="Times New Roman" w:hAnsi="Times New Roman" w:cs="Times New Roman"/>
          <w:sz w:val="24"/>
          <w:szCs w:val="24"/>
        </w:rPr>
      </w:pPr>
    </w:p>
    <w:p w14:paraId="00000012" w14:textId="77777777" w:rsidR="00D818B6" w:rsidRDefault="00305FF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peut faire le constat, plus de quarante ans après la publication de « La production de l’idéologie dominante »</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de son étonnante actualité. Pierre Bourdieu et Luc Boltanski montraient que celle-ci reposait d’abord sur une rhétorique du mouvement</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Ces dernières années l’ont bien montré : la « réforme » du système de retraites a ainsi été dépeinte comme « nécessaire » parce que, statistiques à l’appui, la société serait prise dans un inéluctable mouvement de vieillissement. Car c’est là une autre caractéristique essentielle de l’idéologie dominante : elle est empreinte de « conservatisme progressiste », c'est-à-dire qu’elle mêle à la fois des discours sur la nécessité du progrès avec la formulation de tout un ensemble de craintes quant à un avenir qui serait trop « différent » de celui envisagé. Comment d’ailleurs penser que le colloque récemment organisé par des élites politiques contre le « </w:t>
      </w:r>
      <w:proofErr w:type="spellStart"/>
      <w:r>
        <w:rPr>
          <w:rFonts w:ascii="Times New Roman" w:eastAsia="Times New Roman" w:hAnsi="Times New Roman" w:cs="Times New Roman"/>
          <w:sz w:val="24"/>
          <w:szCs w:val="24"/>
        </w:rPr>
        <w:t>wokisme</w:t>
      </w:r>
      <w:proofErr w:type="spellEnd"/>
      <w:r>
        <w:rPr>
          <w:rFonts w:ascii="Times New Roman" w:eastAsia="Times New Roman" w:hAnsi="Times New Roman" w:cs="Times New Roman"/>
          <w:sz w:val="24"/>
          <w:szCs w:val="24"/>
        </w:rPr>
        <w:t xml:space="preserve"> » pourrait être autre chose qu’une réaction conservatrice ? L’idéologie dominante, au-delà de légitimer la position d’élites gouvernantes, produit donc une représentation euphémisée de la réalité ; représentation que la sociologie critique construite autour de Pierre Bourdieu cherchait (et cherche encore) à déconstruire. </w:t>
      </w:r>
    </w:p>
    <w:p w14:paraId="00000013" w14:textId="77777777" w:rsidR="00D818B6" w:rsidRDefault="00D818B6">
      <w:pPr>
        <w:jc w:val="both"/>
        <w:rPr>
          <w:rFonts w:ascii="Times New Roman" w:eastAsia="Times New Roman" w:hAnsi="Times New Roman" w:cs="Times New Roman"/>
          <w:sz w:val="24"/>
          <w:szCs w:val="24"/>
        </w:rPr>
      </w:pPr>
    </w:p>
    <w:p w14:paraId="00000014" w14:textId="77777777" w:rsidR="00D818B6" w:rsidRDefault="00305FF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 « mots du pouvoir » circulent également dans les catégories administratives, comme l’illustre le numéro de la revue </w:t>
      </w:r>
      <w:r>
        <w:rPr>
          <w:rFonts w:ascii="Times New Roman" w:eastAsia="Times New Roman" w:hAnsi="Times New Roman" w:cs="Times New Roman"/>
          <w:i/>
          <w:sz w:val="24"/>
          <w:szCs w:val="24"/>
        </w:rPr>
        <w:t xml:space="preserve">Cultures &amp; Conflits </w:t>
      </w:r>
      <w:r>
        <w:rPr>
          <w:rFonts w:ascii="Times New Roman" w:eastAsia="Times New Roman" w:hAnsi="Times New Roman" w:cs="Times New Roman"/>
          <w:sz w:val="24"/>
          <w:szCs w:val="24"/>
        </w:rPr>
        <w:t xml:space="preserve">coordonné par </w:t>
      </w:r>
      <w:proofErr w:type="spellStart"/>
      <w:r>
        <w:rPr>
          <w:rFonts w:ascii="Times New Roman" w:eastAsia="Times New Roman" w:hAnsi="Times New Roman" w:cs="Times New Roman"/>
          <w:sz w:val="24"/>
          <w:szCs w:val="24"/>
        </w:rPr>
        <w:t>Narguesse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Keyhani</w:t>
      </w:r>
      <w:proofErr w:type="spellEnd"/>
      <w:r>
        <w:rPr>
          <w:rFonts w:ascii="Times New Roman" w:eastAsia="Times New Roman" w:hAnsi="Times New Roman" w:cs="Times New Roman"/>
          <w:sz w:val="24"/>
          <w:szCs w:val="24"/>
        </w:rPr>
        <w:t xml:space="preserve"> et Sylvain Laurens sur la production officielle des différences culturelles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Prenant pour focale les politiques migratoires, les différentes contributions à ce numéro participent à une réflexion d’ensemble sur les catégories administratives. Les </w:t>
      </w:r>
      <w:proofErr w:type="spellStart"/>
      <w:r>
        <w:rPr>
          <w:rFonts w:ascii="Times New Roman" w:eastAsia="Times New Roman" w:hAnsi="Times New Roman" w:cs="Times New Roman"/>
          <w:sz w:val="24"/>
          <w:szCs w:val="24"/>
        </w:rPr>
        <w:t>différent·e·s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auteur·trice·s</w:t>
      </w:r>
      <w:proofErr w:type="spellEnd"/>
      <w:r>
        <w:rPr>
          <w:rFonts w:ascii="Times New Roman" w:eastAsia="Times New Roman" w:hAnsi="Times New Roman" w:cs="Times New Roman"/>
          <w:sz w:val="24"/>
          <w:szCs w:val="24"/>
        </w:rPr>
        <w:t xml:space="preserve"> nous invitent à prendre part à la réflexion sur le sens de ces catégories, leurs effets performatifs, mais également sur les mécanismes qui président à leur formation. Ainsi, l’évolution du lexique des politiques migratoires, de la catégorie de « l’immigré » à celle du « réfugié », associée à l’émergence puis la généralisation du soupçon à l’égard des </w:t>
      </w:r>
      <w:proofErr w:type="spellStart"/>
      <w:r>
        <w:rPr>
          <w:rFonts w:ascii="Times New Roman" w:eastAsia="Times New Roman" w:hAnsi="Times New Roman" w:cs="Times New Roman"/>
          <w:sz w:val="24"/>
          <w:szCs w:val="24"/>
        </w:rPr>
        <w:t>nouveaux·elles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entrant·e·s</w:t>
      </w:r>
      <w:proofErr w:type="spellEnd"/>
      <w:r>
        <w:rPr>
          <w:rFonts w:ascii="Times New Roman" w:eastAsia="Times New Roman" w:hAnsi="Times New Roman" w:cs="Times New Roman"/>
          <w:sz w:val="24"/>
          <w:szCs w:val="24"/>
        </w:rPr>
        <w:t xml:space="preserve"> sur le territoire, s’explique par l’action des administrations avant d’avoir des effets plus généraux dans l’ensemble de la société. </w:t>
      </w:r>
    </w:p>
    <w:p w14:paraId="00000015" w14:textId="77777777" w:rsidR="00D818B6" w:rsidRDefault="00D818B6">
      <w:pPr>
        <w:jc w:val="both"/>
        <w:rPr>
          <w:sz w:val="24"/>
          <w:szCs w:val="24"/>
        </w:rPr>
      </w:pPr>
    </w:p>
    <w:p w14:paraId="00000016" w14:textId="77777777" w:rsidR="00D818B6" w:rsidRDefault="00305FF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 </w:t>
      </w:r>
      <w:proofErr w:type="gramStart"/>
      <w:r>
        <w:rPr>
          <w:rFonts w:ascii="Times New Roman" w:eastAsia="Times New Roman" w:hAnsi="Times New Roman" w:cs="Times New Roman"/>
          <w:sz w:val="24"/>
          <w:szCs w:val="24"/>
        </w:rPr>
        <w:t>peut  ainsi</w:t>
      </w:r>
      <w:proofErr w:type="gramEnd"/>
      <w:r>
        <w:rPr>
          <w:rFonts w:ascii="Times New Roman" w:eastAsia="Times New Roman" w:hAnsi="Times New Roman" w:cs="Times New Roman"/>
          <w:sz w:val="24"/>
          <w:szCs w:val="24"/>
        </w:rPr>
        <w:t xml:space="preserve"> analyser la bureaucratisation néolibérale</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comme </w:t>
      </w:r>
      <w:proofErr w:type="spellStart"/>
      <w:r>
        <w:rPr>
          <w:rFonts w:ascii="Times New Roman" w:eastAsia="Times New Roman" w:hAnsi="Times New Roman" w:cs="Times New Roman"/>
          <w:sz w:val="24"/>
          <w:szCs w:val="24"/>
        </w:rPr>
        <w:t>comme</w:t>
      </w:r>
      <w:proofErr w:type="spellEnd"/>
      <w:r>
        <w:rPr>
          <w:rFonts w:ascii="Times New Roman" w:eastAsia="Times New Roman" w:hAnsi="Times New Roman" w:cs="Times New Roman"/>
          <w:sz w:val="24"/>
          <w:szCs w:val="24"/>
        </w:rPr>
        <w:t xml:space="preserve"> une stratégie de persuasion, un processus de “mise en forme”</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qui passe par des règles, des procédures, des opérations de catégorisation où les mots sont centraux. Ses opérations de codage et de quantification transforment la vie sociale dans son quotidien, mais aussi l’Etat et ses modes d’intervention</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En devenant universelle et donc normalisée, la mise en catégories devient une déclinaison, décrite comme subtile par B. Hibou, de la domination et de son exercice. C’est dans sa normalisation que s’incarne son pouvoir contraignant.</w:t>
      </w:r>
    </w:p>
    <w:p w14:paraId="00000017" w14:textId="77777777" w:rsidR="00D818B6" w:rsidRDefault="00D818B6">
      <w:pPr>
        <w:jc w:val="both"/>
        <w:rPr>
          <w:rFonts w:ascii="Times New Roman" w:eastAsia="Times New Roman" w:hAnsi="Times New Roman" w:cs="Times New Roman"/>
          <w:sz w:val="24"/>
          <w:szCs w:val="24"/>
        </w:rPr>
      </w:pPr>
    </w:p>
    <w:p w14:paraId="00000018" w14:textId="77777777" w:rsidR="00D818B6" w:rsidRDefault="00305FF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réforme du Revenu Minimum d’Insertion, devenu Revenu de Solidarité </w:t>
      </w:r>
      <w:proofErr w:type="gramStart"/>
      <w:r>
        <w:rPr>
          <w:rFonts w:ascii="Times New Roman" w:eastAsia="Times New Roman" w:hAnsi="Times New Roman" w:cs="Times New Roman"/>
          <w:sz w:val="24"/>
          <w:szCs w:val="24"/>
        </w:rPr>
        <w:t>Active  en</w:t>
      </w:r>
      <w:proofErr w:type="gramEnd"/>
      <w:r>
        <w:rPr>
          <w:rFonts w:ascii="Times New Roman" w:eastAsia="Times New Roman" w:hAnsi="Times New Roman" w:cs="Times New Roman"/>
          <w:sz w:val="24"/>
          <w:szCs w:val="24"/>
        </w:rPr>
        <w:t xml:space="preserve"> 2009 est un exemple d’une transformation lexicale symptomatique des réformes néo-libérales. Elle exprime </w:t>
      </w:r>
      <w:proofErr w:type="gramStart"/>
      <w:r>
        <w:rPr>
          <w:rFonts w:ascii="Times New Roman" w:eastAsia="Times New Roman" w:hAnsi="Times New Roman" w:cs="Times New Roman"/>
          <w:sz w:val="24"/>
          <w:szCs w:val="24"/>
        </w:rPr>
        <w:t>un  changement</w:t>
      </w:r>
      <w:proofErr w:type="gramEnd"/>
      <w:r>
        <w:rPr>
          <w:rFonts w:ascii="Times New Roman" w:eastAsia="Times New Roman" w:hAnsi="Times New Roman" w:cs="Times New Roman"/>
          <w:sz w:val="24"/>
          <w:szCs w:val="24"/>
        </w:rPr>
        <w:t xml:space="preserve"> dans les représentations autour des politiques sociales visant à « faire  davantage porter la responsabilité de leur situation» </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aux </w:t>
      </w:r>
      <w:proofErr w:type="spellStart"/>
      <w:r>
        <w:rPr>
          <w:rFonts w:ascii="Times New Roman" w:eastAsia="Times New Roman" w:hAnsi="Times New Roman" w:cs="Times New Roman"/>
          <w:sz w:val="24"/>
          <w:szCs w:val="24"/>
        </w:rPr>
        <w:t>usager·es</w:t>
      </w:r>
      <w:proofErr w:type="spellEnd"/>
      <w:r>
        <w:rPr>
          <w:rFonts w:ascii="Times New Roman" w:eastAsia="Times New Roman" w:hAnsi="Times New Roman" w:cs="Times New Roman"/>
          <w:sz w:val="24"/>
          <w:szCs w:val="24"/>
        </w:rPr>
        <w:t xml:space="preserve">. La mise en catégorie apparaît ainsi comme un dispositif violent et coercitif, structurant l’action gouvernementale, économique et sociale et encadrant, de fait, les institutions et les personnes composant la société. </w:t>
      </w:r>
    </w:p>
    <w:p w14:paraId="00000019" w14:textId="77777777" w:rsidR="00D818B6" w:rsidRDefault="00D818B6">
      <w:pPr>
        <w:jc w:val="both"/>
        <w:rPr>
          <w:rFonts w:ascii="Times New Roman" w:eastAsia="Times New Roman" w:hAnsi="Times New Roman" w:cs="Times New Roman"/>
          <w:sz w:val="24"/>
          <w:szCs w:val="24"/>
        </w:rPr>
      </w:pPr>
    </w:p>
    <w:p w14:paraId="0000001A" w14:textId="77777777" w:rsidR="00D818B6" w:rsidRDefault="00305FF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 processus de mise en forme auquel renvoie la bureaucratisation néolibérale se fait par le biais du langage, des mots. Elle est l’expression de représentations du réel et productrice d’effets. Elle définit les contours et expressions (il)légitimes du politique et c’est autour d’elle que </w:t>
      </w:r>
      <w:r>
        <w:rPr>
          <w:rFonts w:ascii="Times New Roman" w:eastAsia="Times New Roman" w:hAnsi="Times New Roman" w:cs="Times New Roman"/>
          <w:i/>
          <w:sz w:val="24"/>
          <w:szCs w:val="24"/>
        </w:rPr>
        <w:t>“se nouent les relations sociales, les conflits et les négociations et se jouent les inégalités et les exclusions, créant ainsi un système collectif de représentation du réel qui est au centre de l’exercice de la domination</w:t>
      </w:r>
      <w:r>
        <w:rPr>
          <w:rFonts w:ascii="Times New Roman" w:eastAsia="Times New Roman" w:hAnsi="Times New Roman" w:cs="Times New Roman"/>
          <w:i/>
          <w:sz w:val="24"/>
          <w:szCs w:val="24"/>
          <w:vertAlign w:val="superscript"/>
        </w:rPr>
        <w:footnoteReference w:id="13"/>
      </w: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Le langage des formalités néolibérales n’est pas pour autant inerte et immuable, mais sensible aux jeux de pouvoir, aux rapports de force et contextes historiques dans lesquels il se construit.</w:t>
      </w:r>
    </w:p>
    <w:p w14:paraId="0000001B" w14:textId="77777777" w:rsidR="00D818B6" w:rsidRDefault="00D818B6">
      <w:pPr>
        <w:jc w:val="both"/>
        <w:rPr>
          <w:rFonts w:ascii="Times New Roman" w:eastAsia="Times New Roman" w:hAnsi="Times New Roman" w:cs="Times New Roman"/>
          <w:sz w:val="24"/>
          <w:szCs w:val="24"/>
        </w:rPr>
      </w:pPr>
    </w:p>
    <w:p w14:paraId="0000001C" w14:textId="77777777" w:rsidR="00D818B6" w:rsidRDefault="00305FF0">
      <w:pPr>
        <w:pStyle w:val="Titre1"/>
        <w:spacing w:after="240"/>
        <w:rPr>
          <w:rFonts w:ascii="Times New Roman" w:eastAsia="Times New Roman" w:hAnsi="Times New Roman" w:cs="Times New Roman"/>
          <w:sz w:val="24"/>
          <w:szCs w:val="24"/>
        </w:rPr>
      </w:pPr>
      <w:bookmarkStart w:id="3" w:name="_xloco7qq2n6w" w:colFirst="0" w:colLast="0"/>
      <w:bookmarkEnd w:id="3"/>
      <w:r>
        <w:rPr>
          <w:rFonts w:ascii="Times New Roman" w:eastAsia="Times New Roman" w:hAnsi="Times New Roman" w:cs="Times New Roman"/>
          <w:sz w:val="24"/>
          <w:szCs w:val="24"/>
        </w:rPr>
        <w:t>2/ Les mots comme enjeux de lutte pour les mouvements sociaux</w:t>
      </w:r>
    </w:p>
    <w:p w14:paraId="0000001D" w14:textId="77777777" w:rsidR="00D818B6" w:rsidRDefault="00305FF0">
      <w:pPr>
        <w:spacing w:after="240"/>
        <w:jc w:val="both"/>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 xml:space="preserve">En articulant l’étude des discours et des mouvements sociaux, nous souhaitons participer à la production d’une compréhension des processus et des logiques qui déterminent l’élaboration d’un langage particulier comme enjeu de lutte pour les mouvements politiques et les mobilisations. D’une part, le langage peut être placé en position instrumentale, dans le but de redéfinir et de reproblématiser un phénomène dont la désignation est jugée insatisfaisante ou révoltante (“crime passionnel” </w:t>
      </w:r>
      <w:r>
        <w:rPr>
          <w:rFonts w:ascii="Times New Roman" w:eastAsia="Times New Roman" w:hAnsi="Times New Roman" w:cs="Times New Roman"/>
          <w:i/>
          <w:sz w:val="24"/>
          <w:szCs w:val="24"/>
        </w:rPr>
        <w:t xml:space="preserve">versus </w:t>
      </w:r>
      <w:r>
        <w:rPr>
          <w:rFonts w:ascii="Times New Roman" w:eastAsia="Times New Roman" w:hAnsi="Times New Roman" w:cs="Times New Roman"/>
          <w:sz w:val="24"/>
          <w:szCs w:val="24"/>
        </w:rPr>
        <w:t xml:space="preserve">féminicide). D’autre part, on voit la manière dont celui-ci peut être un instrument de classification dans des stratégies de distinction au sein des organisations militantes. Enfin, le langage peut être lui-même objet (et non plus instrument) de lutte dès lors que son usage ou sa définition ne fait pas consensus. La notion de race, qui revêt </w:t>
      </w:r>
      <w:r>
        <w:rPr>
          <w:rFonts w:ascii="Times New Roman" w:eastAsia="Times New Roman" w:hAnsi="Times New Roman" w:cs="Times New Roman"/>
          <w:sz w:val="24"/>
          <w:szCs w:val="24"/>
        </w:rPr>
        <w:lastRenderedPageBreak/>
        <w:t>une forte “polysémie sociale”, nourrit ainsi de vifs débats au sein des organisations progressistes, tantôt mobilisée dans des logiques d’assignation (ou stigmatisation), tantôt dans des logiques d’identification (ou subjectivation) raciale.</w:t>
      </w:r>
    </w:p>
    <w:p w14:paraId="0000001E" w14:textId="77777777" w:rsidR="00D818B6" w:rsidRDefault="00305FF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terme comme celui de féminicide est particulièrement représentatif de l’usage polysémique des mots. C’est un terme qui aujourd’hui porte encore à débat, que ce soit dans la sphère politique ou la sphère militante. En 2020, Fiona </w:t>
      </w:r>
      <w:proofErr w:type="spellStart"/>
      <w:r>
        <w:rPr>
          <w:rFonts w:ascii="Times New Roman" w:eastAsia="Times New Roman" w:hAnsi="Times New Roman" w:cs="Times New Roman"/>
          <w:sz w:val="24"/>
          <w:szCs w:val="24"/>
        </w:rPr>
        <w:t>Lazaar</w:t>
      </w:r>
      <w:proofErr w:type="spellEnd"/>
      <w:r>
        <w:rPr>
          <w:rFonts w:ascii="Times New Roman" w:eastAsia="Times New Roman" w:hAnsi="Times New Roman" w:cs="Times New Roman"/>
          <w:sz w:val="24"/>
          <w:szCs w:val="24"/>
        </w:rPr>
        <w:t xml:space="preserve">, députée de la majorité, propose une résolution “pour développer l’usage institutionnel du terme féminicide”. C’est un concept qui est apparu relativement tard dans la théorie féministe c’est-à-dire à partir des années 70. En réalisant un retour historique sur le concept de féminicide, Margot </w:t>
      </w:r>
      <w:proofErr w:type="spellStart"/>
      <w:r>
        <w:rPr>
          <w:rFonts w:ascii="Times New Roman" w:eastAsia="Times New Roman" w:hAnsi="Times New Roman" w:cs="Times New Roman"/>
          <w:sz w:val="24"/>
          <w:szCs w:val="24"/>
        </w:rPr>
        <w:t>Giacinti</w:t>
      </w:r>
      <w:proofErr w:type="spellEnd"/>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montre sa difficile reconnaissance en dehors de la sphère militante. En effet, que ce soit dans la sphère juridique, médiatique ou institutionnelle, on remarque à chaque fois l’absence de ce mot et l’usage d’autres termes jouant plus ou moins sur l’euphémisation du crime commis. Nous trouverons également les termes de </w:t>
      </w:r>
      <w:proofErr w:type="spellStart"/>
      <w:r>
        <w:rPr>
          <w:rFonts w:ascii="Times New Roman" w:eastAsia="Times New Roman" w:hAnsi="Times New Roman" w:cs="Times New Roman"/>
          <w:sz w:val="24"/>
          <w:szCs w:val="24"/>
        </w:rPr>
        <w:t>conjucide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uxoricide</w:t>
      </w:r>
      <w:proofErr w:type="spellEnd"/>
      <w:r>
        <w:rPr>
          <w:rFonts w:ascii="Times New Roman" w:eastAsia="Times New Roman" w:hAnsi="Times New Roman" w:cs="Times New Roman"/>
          <w:sz w:val="24"/>
          <w:szCs w:val="24"/>
        </w:rPr>
        <w:t xml:space="preserve">, ou encore « crime passionnel » qui ne montrent jamais la violence sexiste derrière le meurtre. La sphère militante, elle, tente alors d’imposer son langage et l’utilisation réfléchie de ce nouveau concept montrant un véritable « droit de possession » du mari sur sa femme et la mise en lumière d’un type de crime basé sur la misogynie et le « droit patriarcal » de tuer les femmes parce qu’elles sont femmes. </w:t>
      </w:r>
    </w:p>
    <w:p w14:paraId="0000001F" w14:textId="77777777" w:rsidR="00D818B6" w:rsidRDefault="00305FF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peut aussi souligner combien les nouvelles technologies jouent un rôle majeur dans la diffusion d'une lexie militante plus ou moins subversive. Depuis le début des années 2000 et l’essor d’Internet, les mouvements politiques se disputent ce nouvel espace en déployant de nouvelles stratégies de communication et en agençant leur discours pour correspondre aux codes culturels du numérique, créant parfois de nouvelles terminologies militantes pour véhiculer un certain rapport au monde. Ces nouvelles terminologies comme “</w:t>
      </w:r>
      <w:r>
        <w:rPr>
          <w:rFonts w:ascii="Times New Roman" w:eastAsia="Times New Roman" w:hAnsi="Times New Roman" w:cs="Times New Roman"/>
          <w:i/>
          <w:sz w:val="24"/>
          <w:szCs w:val="24"/>
        </w:rPr>
        <w:t>SJW</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Social Justice Warrior</w:t>
      </w:r>
      <w:r>
        <w:rPr>
          <w:rFonts w:ascii="Times New Roman" w:eastAsia="Times New Roman" w:hAnsi="Times New Roman" w:cs="Times New Roman"/>
          <w:sz w:val="24"/>
          <w:szCs w:val="24"/>
        </w:rPr>
        <w:t>) infusent alors dans le débat public et permettent de rendre efficace la pénétration de certaines idées politiques dans le corps social. De plus, les forums puis les réseaux sociaux deviennent des espaces incontournables pour les mouvements politiques et peuvent parfois aboutir sur des événements, des campagnes de communication, ou des mobilisations (#MeeToo ; #</w:t>
      </w:r>
      <w:proofErr w:type="gramStart"/>
      <w:r>
        <w:rPr>
          <w:rFonts w:ascii="Times New Roman" w:eastAsia="Times New Roman" w:hAnsi="Times New Roman" w:cs="Times New Roman"/>
          <w:sz w:val="24"/>
          <w:szCs w:val="24"/>
        </w:rPr>
        <w:t>PizzaGate )</w:t>
      </w:r>
      <w:proofErr w:type="gramEnd"/>
      <w:r>
        <w:rPr>
          <w:rFonts w:ascii="Times New Roman" w:eastAsia="Times New Roman" w:hAnsi="Times New Roman" w:cs="Times New Roman"/>
          <w:sz w:val="24"/>
          <w:szCs w:val="24"/>
        </w:rPr>
        <w:t>.</w:t>
      </w:r>
    </w:p>
    <w:p w14:paraId="00000020" w14:textId="77777777" w:rsidR="00D818B6" w:rsidRDefault="00305FF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Yannick Cahuzac et Stéphane François analysent la stratégie de communication de l’extrême-droite identitaire, notamment sur les réseaux, qu’ils décrivent comme un </w:t>
      </w:r>
      <w:proofErr w:type="spellStart"/>
      <w:r>
        <w:rPr>
          <w:rFonts w:ascii="Times New Roman" w:eastAsia="Times New Roman" w:hAnsi="Times New Roman" w:cs="Times New Roman"/>
          <w:sz w:val="24"/>
          <w:szCs w:val="24"/>
        </w:rPr>
        <w:t>gramscisme</w:t>
      </w:r>
      <w:proofErr w:type="spellEnd"/>
      <w:r>
        <w:rPr>
          <w:rFonts w:ascii="Times New Roman" w:eastAsia="Times New Roman" w:hAnsi="Times New Roman" w:cs="Times New Roman"/>
          <w:sz w:val="24"/>
          <w:szCs w:val="24"/>
        </w:rPr>
        <w:t xml:space="preserve"> numérique pour imposer ses thématiques, ses prises de positions et son vocabulaire.</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Dès lors, telle une agora, Internet est un espace privilégié sur lequel se joue des luttes pour la popularisation des discours politiques et des phénomènes de cadrage des mobilisations. </w:t>
      </w:r>
    </w:p>
    <w:p w14:paraId="00000021" w14:textId="77777777" w:rsidR="00D818B6" w:rsidRDefault="00D818B6">
      <w:pPr>
        <w:ind w:firstLine="720"/>
        <w:jc w:val="both"/>
        <w:rPr>
          <w:rFonts w:ascii="Times New Roman" w:eastAsia="Times New Roman" w:hAnsi="Times New Roman" w:cs="Times New Roman"/>
          <w:sz w:val="24"/>
          <w:szCs w:val="24"/>
        </w:rPr>
      </w:pPr>
    </w:p>
    <w:p w14:paraId="00000022" w14:textId="77777777" w:rsidR="00D818B6" w:rsidRDefault="00305FF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Tristan Mendes France ajoute que l’extrême-droite en ligne se retrouve d’abord autour d’une “</w:t>
      </w:r>
      <w:r>
        <w:rPr>
          <w:rFonts w:ascii="Times New Roman" w:eastAsia="Times New Roman" w:hAnsi="Times New Roman" w:cs="Times New Roman"/>
          <w:i/>
          <w:sz w:val="24"/>
          <w:szCs w:val="24"/>
        </w:rPr>
        <w:t>guerre sémantique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dans laquelle elle tenterait de promouvoir certaines terminologies </w:t>
      </w:r>
      <w:r>
        <w:rPr>
          <w:rFonts w:ascii="Times New Roman" w:eastAsia="Times New Roman" w:hAnsi="Times New Roman" w:cs="Times New Roman"/>
          <w:sz w:val="24"/>
          <w:szCs w:val="24"/>
        </w:rPr>
        <w:lastRenderedPageBreak/>
        <w:t>en ligne comme “</w:t>
      </w:r>
      <w:r>
        <w:rPr>
          <w:rFonts w:ascii="Times New Roman" w:eastAsia="Times New Roman" w:hAnsi="Times New Roman" w:cs="Times New Roman"/>
          <w:i/>
          <w:sz w:val="24"/>
          <w:szCs w:val="24"/>
        </w:rPr>
        <w:t>islamo-gauchisme</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les chances pour la France</w:t>
      </w: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remigration</w:t>
      </w:r>
      <w:proofErr w:type="spellEnd"/>
      <w:r>
        <w:rPr>
          <w:rFonts w:ascii="Times New Roman" w:eastAsia="Times New Roman" w:hAnsi="Times New Roman" w:cs="Times New Roman"/>
          <w:sz w:val="24"/>
          <w:szCs w:val="24"/>
        </w:rPr>
        <w:t>” ou “</w:t>
      </w:r>
      <w:r>
        <w:rPr>
          <w:rFonts w:ascii="Times New Roman" w:eastAsia="Times New Roman" w:hAnsi="Times New Roman" w:cs="Times New Roman"/>
          <w:i/>
          <w:sz w:val="24"/>
          <w:szCs w:val="24"/>
        </w:rPr>
        <w:t>mondialisme</w:t>
      </w:r>
      <w:r>
        <w:rPr>
          <w:rFonts w:ascii="Times New Roman" w:eastAsia="Times New Roman" w:hAnsi="Times New Roman" w:cs="Times New Roman"/>
          <w:sz w:val="24"/>
          <w:szCs w:val="24"/>
        </w:rPr>
        <w:t xml:space="preserve">”. Ainsi, ces nouveaux acteurs forment une construction argumentative basée sur l’humour, sur l’euphémisation des discours haineux par de nouveaux langages comme le </w:t>
      </w:r>
      <w:r>
        <w:rPr>
          <w:rFonts w:ascii="Times New Roman" w:eastAsia="Times New Roman" w:hAnsi="Times New Roman" w:cs="Times New Roman"/>
          <w:i/>
          <w:sz w:val="24"/>
          <w:szCs w:val="24"/>
        </w:rPr>
        <w:t>troll</w:t>
      </w:r>
      <w:r>
        <w:rPr>
          <w:rFonts w:ascii="Times New Roman" w:eastAsia="Times New Roman" w:hAnsi="Times New Roman" w:cs="Times New Roman"/>
          <w:sz w:val="24"/>
          <w:szCs w:val="24"/>
        </w:rPr>
        <w:t xml:space="preserve"> ou le </w:t>
      </w:r>
      <w:proofErr w:type="spellStart"/>
      <w:r>
        <w:rPr>
          <w:rFonts w:ascii="Times New Roman" w:eastAsia="Times New Roman" w:hAnsi="Times New Roman" w:cs="Times New Roman"/>
          <w:i/>
          <w:sz w:val="24"/>
          <w:szCs w:val="24"/>
        </w:rPr>
        <w:t>meme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incubant dans des lieux anthologiques d'Internet tel le forum 4chan ou </w:t>
      </w:r>
      <w:proofErr w:type="spellStart"/>
      <w:r>
        <w:rPr>
          <w:rFonts w:ascii="Times New Roman" w:eastAsia="Times New Roman" w:hAnsi="Times New Roman" w:cs="Times New Roman"/>
          <w:sz w:val="24"/>
          <w:szCs w:val="24"/>
        </w:rPr>
        <w:t>Reddit</w:t>
      </w:r>
      <w:proofErr w:type="spellEnd"/>
      <w:r>
        <w:rPr>
          <w:rFonts w:ascii="Times New Roman" w:eastAsia="Times New Roman" w:hAnsi="Times New Roman" w:cs="Times New Roman"/>
          <w:sz w:val="24"/>
          <w:szCs w:val="24"/>
        </w:rPr>
        <w:t>. Cette intervention politique se traduit par l’utilisation d'un discours affectif jouant sur la provocation des émotions. C'est pourquoi, la compréhension de la structuration du numérique et du fonctionnement des algorithmes nous paraissent être des enjeux fondamentaux pour comprendre le développement d'une nouvelle culture politique et des lexies qui s'imposent aux nouvelles générations.</w:t>
      </w:r>
    </w:p>
    <w:p w14:paraId="00000023" w14:textId="77777777" w:rsidR="00D818B6" w:rsidRDefault="00D818B6">
      <w:pPr>
        <w:ind w:firstLine="720"/>
        <w:jc w:val="both"/>
        <w:rPr>
          <w:rFonts w:ascii="Times New Roman" w:eastAsia="Times New Roman" w:hAnsi="Times New Roman" w:cs="Times New Roman"/>
          <w:sz w:val="24"/>
          <w:szCs w:val="24"/>
        </w:rPr>
      </w:pPr>
    </w:p>
    <w:p w14:paraId="00000024" w14:textId="77777777" w:rsidR="00D818B6" w:rsidRDefault="00305FF0">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la construction sémantique d’un problème politique peut être objet de luttes au sein de l’arène politique et/ou médiatique, ces luttes pour la représentation du monde social prennent aussi place au sein des groupes militants et des mouvements sociaux. Manon </w:t>
      </w:r>
      <w:proofErr w:type="spellStart"/>
      <w:r>
        <w:rPr>
          <w:rFonts w:ascii="Times New Roman" w:eastAsia="Times New Roman" w:hAnsi="Times New Roman" w:cs="Times New Roman"/>
          <w:sz w:val="24"/>
          <w:szCs w:val="24"/>
        </w:rPr>
        <w:t>Him-Aquilli</w:t>
      </w:r>
      <w:proofErr w:type="spellEnd"/>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a montré comment, lors des mobilisations suite à la mort de Rémi </w:t>
      </w:r>
      <w:proofErr w:type="spellStart"/>
      <w:r>
        <w:rPr>
          <w:rFonts w:ascii="Times New Roman" w:eastAsia="Times New Roman" w:hAnsi="Times New Roman" w:cs="Times New Roman"/>
          <w:sz w:val="24"/>
          <w:szCs w:val="24"/>
        </w:rPr>
        <w:t>Fraisse</w:t>
      </w:r>
      <w:proofErr w:type="spellEnd"/>
      <w:r>
        <w:rPr>
          <w:rFonts w:ascii="Times New Roman" w:eastAsia="Times New Roman" w:hAnsi="Times New Roman" w:cs="Times New Roman"/>
          <w:sz w:val="24"/>
          <w:szCs w:val="24"/>
        </w:rPr>
        <w:t xml:space="preserve"> en 2014, des débats ont eu lieu au sein des Assemblées Générales regroupant anarchistes et autonomes pour qualifier la nature des violences policières. Durant l’AG, les usages stratégiques du “nous” sont cruciaux pour la construction d’une identité collective. Un groupe majoritaire et qui maîtrise les codes militants se structure autour d’un “nous” qui considère que les violences policières sont le produit d’un système. Par ailleurs, ce “nous” est excluant puisqu’il marginalise les </w:t>
      </w:r>
      <w:proofErr w:type="spellStart"/>
      <w:r>
        <w:rPr>
          <w:rFonts w:ascii="Times New Roman" w:eastAsia="Times New Roman" w:hAnsi="Times New Roman" w:cs="Times New Roman"/>
          <w:sz w:val="24"/>
          <w:szCs w:val="24"/>
        </w:rPr>
        <w:t>militant·e·s</w:t>
      </w:r>
      <w:proofErr w:type="spellEnd"/>
      <w:r>
        <w:rPr>
          <w:rFonts w:ascii="Times New Roman" w:eastAsia="Times New Roman" w:hAnsi="Times New Roman" w:cs="Times New Roman"/>
          <w:sz w:val="24"/>
          <w:szCs w:val="24"/>
        </w:rPr>
        <w:t xml:space="preserve"> de l’AG qui individualisent les cas de violences policières. </w:t>
      </w:r>
    </w:p>
    <w:p w14:paraId="00000025" w14:textId="77777777" w:rsidR="00D818B6" w:rsidRDefault="00305FF0">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autre exemple d'opération de classification est donné par Jérémy </w:t>
      </w:r>
      <w:proofErr w:type="spellStart"/>
      <w:r>
        <w:rPr>
          <w:rFonts w:ascii="Times New Roman" w:eastAsia="Times New Roman" w:hAnsi="Times New Roman" w:cs="Times New Roman"/>
          <w:sz w:val="24"/>
          <w:szCs w:val="24"/>
        </w:rPr>
        <w:t>Sinigaglia</w:t>
      </w:r>
      <w:proofErr w:type="spellEnd"/>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dans son étude du qualificatif de droitier au NPA. En effet, celui-ci sert à disqualifier, stigmatiser, étiqueter d’autres groupes sous prétexte d’écart “réformiste” par rapport à la ligne du parti et à réaffirmer l’orthodoxie du locuteur. L’usage du qualificatif droitier dans les luttes de position est dès lors un acte classant qui vise à marginaliser l’adversaire et un acte classé, qui nous renseigne sur la position du locuteur dans l’organisation. </w:t>
      </w:r>
    </w:p>
    <w:p w14:paraId="00000026" w14:textId="77777777" w:rsidR="00D818B6" w:rsidRDefault="00305FF0">
      <w:pPr>
        <w:spacing w:after="200"/>
        <w:ind w:firstLine="720"/>
        <w:jc w:val="both"/>
      </w:pPr>
      <w:r>
        <w:rPr>
          <w:rFonts w:ascii="Times New Roman" w:eastAsia="Times New Roman" w:hAnsi="Times New Roman" w:cs="Times New Roman"/>
          <w:sz w:val="24"/>
          <w:szCs w:val="24"/>
        </w:rPr>
        <w:t xml:space="preserve">Si </w:t>
      </w:r>
      <w:proofErr w:type="spellStart"/>
      <w:r>
        <w:rPr>
          <w:rFonts w:ascii="Times New Roman" w:eastAsia="Times New Roman" w:hAnsi="Times New Roman" w:cs="Times New Roman"/>
          <w:sz w:val="24"/>
          <w:szCs w:val="24"/>
        </w:rPr>
        <w:t>certain·e·s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militant·e·s</w:t>
      </w:r>
      <w:proofErr w:type="spellEnd"/>
      <w:r>
        <w:rPr>
          <w:rFonts w:ascii="Times New Roman" w:eastAsia="Times New Roman" w:hAnsi="Times New Roman" w:cs="Times New Roman"/>
          <w:sz w:val="24"/>
          <w:szCs w:val="24"/>
        </w:rPr>
        <w:t xml:space="preserve"> peuvent user d’actes de classification pour s’auto-positionner et/ou positionner un groupe concurrent, des débats ont eu lieu autour de la notion polysémique de “race” et autour de la question de “l’identification raciale”</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Les mouvements que l’on peut qualifier de “progressistes” font face à une “aporie” puisqu’ils “</w:t>
      </w:r>
      <w:r>
        <w:rPr>
          <w:rFonts w:ascii="Times New Roman" w:eastAsia="Times New Roman" w:hAnsi="Times New Roman" w:cs="Times New Roman"/>
          <w:i/>
          <w:sz w:val="24"/>
          <w:szCs w:val="24"/>
        </w:rPr>
        <w:t>doivent, pour lutter contre la discrimination raciale, en passer par la qualification et la quantification de groupes racialement définis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Ainsi, à l’occasion de la Marche de la dignité et contre </w:t>
      </w:r>
      <w:proofErr w:type="gramStart"/>
      <w:r>
        <w:rPr>
          <w:rFonts w:ascii="Times New Roman" w:eastAsia="Times New Roman" w:hAnsi="Times New Roman" w:cs="Times New Roman"/>
          <w:sz w:val="24"/>
          <w:szCs w:val="24"/>
        </w:rPr>
        <w:t>le racisme organisée</w:t>
      </w:r>
      <w:proofErr w:type="gramEnd"/>
      <w:r>
        <w:rPr>
          <w:rFonts w:ascii="Times New Roman" w:eastAsia="Times New Roman" w:hAnsi="Times New Roman" w:cs="Times New Roman"/>
          <w:sz w:val="24"/>
          <w:szCs w:val="24"/>
        </w:rPr>
        <w:t xml:space="preserve"> à Paris en octobre 2015, les </w:t>
      </w:r>
      <w:proofErr w:type="spellStart"/>
      <w:r>
        <w:rPr>
          <w:rFonts w:ascii="Times New Roman" w:eastAsia="Times New Roman" w:hAnsi="Times New Roman" w:cs="Times New Roman"/>
          <w:sz w:val="24"/>
          <w:szCs w:val="24"/>
        </w:rPr>
        <w:t>opposant·e·s</w:t>
      </w:r>
      <w:proofErr w:type="spellEnd"/>
      <w:r>
        <w:rPr>
          <w:rFonts w:ascii="Times New Roman" w:eastAsia="Times New Roman" w:hAnsi="Times New Roman" w:cs="Times New Roman"/>
          <w:sz w:val="24"/>
          <w:szCs w:val="24"/>
        </w:rPr>
        <w:t xml:space="preserve"> de gauche à cet évènement ont critiqué le vocabulaire utilisé par les </w:t>
      </w:r>
      <w:proofErr w:type="spellStart"/>
      <w:r>
        <w:rPr>
          <w:rFonts w:ascii="Times New Roman" w:eastAsia="Times New Roman" w:hAnsi="Times New Roman" w:cs="Times New Roman"/>
          <w:sz w:val="24"/>
          <w:szCs w:val="24"/>
        </w:rPr>
        <w:t>organisateur·rice·s</w:t>
      </w:r>
      <w:proofErr w:type="spellEnd"/>
      <w:r>
        <w:rPr>
          <w:rFonts w:ascii="Times New Roman" w:eastAsia="Times New Roman" w:hAnsi="Times New Roman" w:cs="Times New Roman"/>
          <w:sz w:val="24"/>
          <w:szCs w:val="24"/>
        </w:rPr>
        <w:t xml:space="preserve"> en les taxant de “</w:t>
      </w:r>
      <w:proofErr w:type="spellStart"/>
      <w:r>
        <w:rPr>
          <w:rFonts w:ascii="Times New Roman" w:eastAsia="Times New Roman" w:hAnsi="Times New Roman" w:cs="Times New Roman"/>
          <w:i/>
          <w:sz w:val="24"/>
          <w:szCs w:val="24"/>
        </w:rPr>
        <w:t>racialisateur</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 </w:t>
      </w:r>
      <w:r>
        <w:rPr>
          <w:rFonts w:ascii="Times New Roman" w:eastAsia="Times New Roman" w:hAnsi="Times New Roman" w:cs="Times New Roman"/>
          <w:i/>
          <w:sz w:val="24"/>
          <w:szCs w:val="24"/>
        </w:rPr>
        <w:t xml:space="preserve">racialiste </w:t>
      </w:r>
      <w:r>
        <w:rPr>
          <w:rFonts w:ascii="Times New Roman" w:eastAsia="Times New Roman" w:hAnsi="Times New Roman" w:cs="Times New Roman"/>
          <w:sz w:val="24"/>
          <w:szCs w:val="24"/>
        </w:rPr>
        <w:t xml:space="preserve">ou </w:t>
      </w:r>
      <w:r>
        <w:rPr>
          <w:rFonts w:ascii="Times New Roman" w:eastAsia="Times New Roman" w:hAnsi="Times New Roman" w:cs="Times New Roman"/>
          <w:sz w:val="24"/>
          <w:szCs w:val="24"/>
        </w:rPr>
        <w:lastRenderedPageBreak/>
        <w:t xml:space="preserve">de </w:t>
      </w:r>
      <w:r>
        <w:rPr>
          <w:rFonts w:ascii="Times New Roman" w:eastAsia="Times New Roman" w:hAnsi="Times New Roman" w:cs="Times New Roman"/>
          <w:i/>
          <w:sz w:val="24"/>
          <w:szCs w:val="24"/>
        </w:rPr>
        <w:t>raciste”</w:t>
      </w:r>
      <w:r>
        <w:rPr>
          <w:rFonts w:ascii="Times New Roman" w:eastAsia="Times New Roman" w:hAnsi="Times New Roman" w:cs="Times New Roman"/>
          <w:i/>
          <w:sz w:val="24"/>
          <w:szCs w:val="24"/>
          <w:vertAlign w:val="superscript"/>
        </w:rPr>
        <w:footnoteReference w:id="21"/>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invoquant l’absence de races (biologiques) et l’usage de cette catégorisation pour “</w:t>
      </w:r>
      <w:r>
        <w:rPr>
          <w:rFonts w:ascii="Times New Roman" w:eastAsia="Times New Roman" w:hAnsi="Times New Roman" w:cs="Times New Roman"/>
          <w:i/>
          <w:sz w:val="24"/>
          <w:szCs w:val="24"/>
        </w:rPr>
        <w:t>diviser les opprimés en les assignant à une identité fictive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Pour leur part, les </w:t>
      </w:r>
      <w:proofErr w:type="spellStart"/>
      <w:r>
        <w:rPr>
          <w:rFonts w:ascii="Times New Roman" w:eastAsia="Times New Roman" w:hAnsi="Times New Roman" w:cs="Times New Roman"/>
          <w:sz w:val="24"/>
          <w:szCs w:val="24"/>
        </w:rPr>
        <w:t>partisan·e·s</w:t>
      </w:r>
      <w:proofErr w:type="spellEnd"/>
      <w:r>
        <w:rPr>
          <w:rFonts w:ascii="Times New Roman" w:eastAsia="Times New Roman" w:hAnsi="Times New Roman" w:cs="Times New Roman"/>
          <w:sz w:val="24"/>
          <w:szCs w:val="24"/>
        </w:rPr>
        <w:t xml:space="preserve"> de l’usage de la notion de race plaident pour son utilisation stratégique dans le but de combattre un “</w:t>
      </w:r>
      <w:r>
        <w:rPr>
          <w:rFonts w:ascii="Times New Roman" w:eastAsia="Times New Roman" w:hAnsi="Times New Roman" w:cs="Times New Roman"/>
          <w:i/>
          <w:sz w:val="24"/>
          <w:szCs w:val="24"/>
        </w:rPr>
        <w:t>rapport d’oppression hérité de la colonisation, et comme moyen de subjectivation politique</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par “l’identification raciale” et le retournement du stigmate. </w:t>
      </w:r>
    </w:p>
    <w:p w14:paraId="00000027" w14:textId="77777777" w:rsidR="00D818B6" w:rsidRDefault="00305FF0">
      <w:pPr>
        <w:pStyle w:val="Titre1"/>
        <w:rPr>
          <w:rFonts w:ascii="Times New Roman" w:eastAsia="Times New Roman" w:hAnsi="Times New Roman" w:cs="Times New Roman"/>
          <w:sz w:val="24"/>
          <w:szCs w:val="24"/>
        </w:rPr>
      </w:pPr>
      <w:bookmarkStart w:id="4" w:name="_h4ropobzpxgv" w:colFirst="0" w:colLast="0"/>
      <w:bookmarkEnd w:id="4"/>
      <w:r>
        <w:rPr>
          <w:rFonts w:ascii="Times New Roman" w:eastAsia="Times New Roman" w:hAnsi="Times New Roman" w:cs="Times New Roman"/>
          <w:sz w:val="24"/>
          <w:szCs w:val="24"/>
        </w:rPr>
        <w:t>3/ Les enjeux méthodologiques dans l’analyse du discours</w:t>
      </w:r>
    </w:p>
    <w:p w14:paraId="00000028" w14:textId="77777777" w:rsidR="00D818B6" w:rsidRDefault="00305FF0">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pouvoir des mots ne s’exprime pas que dans le monde politique ou militant, mais aussi dans toute relation sociale dont la relation d’enquête est une forme spécifique. En tant que </w:t>
      </w:r>
      <w:proofErr w:type="spellStart"/>
      <w:r>
        <w:rPr>
          <w:rFonts w:ascii="Times New Roman" w:eastAsia="Times New Roman" w:hAnsi="Times New Roman" w:cs="Times New Roman"/>
          <w:sz w:val="24"/>
          <w:szCs w:val="24"/>
        </w:rPr>
        <w:t>chercheur·se</w:t>
      </w:r>
      <w:proofErr w:type="spellEnd"/>
      <w:r>
        <w:rPr>
          <w:rFonts w:ascii="Times New Roman" w:eastAsia="Times New Roman" w:hAnsi="Times New Roman" w:cs="Times New Roman"/>
          <w:sz w:val="24"/>
          <w:szCs w:val="24"/>
        </w:rPr>
        <w:t>, il faut donc s’interroger sur le poids des mots et sur ce qu’ils charrient de représentations sociales.</w:t>
      </w:r>
    </w:p>
    <w:p w14:paraId="00000029" w14:textId="77777777" w:rsidR="00D818B6" w:rsidRDefault="00305FF0">
      <w:pPr>
        <w:spacing w:before="240" w:after="240"/>
        <w:jc w:val="both"/>
        <w:rPr>
          <w:b/>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D’une part, les mots utilisés par </w:t>
      </w:r>
      <w:proofErr w:type="gramStart"/>
      <w:r>
        <w:rPr>
          <w:rFonts w:ascii="Times New Roman" w:eastAsia="Times New Roman" w:hAnsi="Times New Roman" w:cs="Times New Roman"/>
          <w:sz w:val="24"/>
          <w:szCs w:val="24"/>
        </w:rPr>
        <w:t xml:space="preserve">les </w:t>
      </w:r>
      <w:proofErr w:type="spellStart"/>
      <w:r>
        <w:rPr>
          <w:rFonts w:ascii="Times New Roman" w:eastAsia="Times New Roman" w:hAnsi="Times New Roman" w:cs="Times New Roman"/>
          <w:sz w:val="24"/>
          <w:szCs w:val="24"/>
        </w:rPr>
        <w:t>enquêteur</w:t>
      </w:r>
      <w:proofErr w:type="gramEnd"/>
      <w:r>
        <w:rPr>
          <w:rFonts w:ascii="Times New Roman" w:eastAsia="Times New Roman" w:hAnsi="Times New Roman" w:cs="Times New Roman"/>
          <w:sz w:val="24"/>
          <w:szCs w:val="24"/>
        </w:rPr>
        <w:t>·ice·s</w:t>
      </w:r>
      <w:proofErr w:type="spellEnd"/>
      <w:r>
        <w:rPr>
          <w:rFonts w:ascii="Times New Roman" w:eastAsia="Times New Roman" w:hAnsi="Times New Roman" w:cs="Times New Roman"/>
          <w:sz w:val="24"/>
          <w:szCs w:val="24"/>
        </w:rPr>
        <w:t xml:space="preserve"> dans le cadre de leur recherche doivent être objet de réflexion afin d’éviter de nombreux biais liés aux impositions de problématique</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et à la reproduction de dominations sociales dans la relation d’enquête</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L’écart social entre </w:t>
      </w:r>
      <w:proofErr w:type="spellStart"/>
      <w:r>
        <w:rPr>
          <w:rFonts w:ascii="Times New Roman" w:eastAsia="Times New Roman" w:hAnsi="Times New Roman" w:cs="Times New Roman"/>
          <w:sz w:val="24"/>
          <w:szCs w:val="24"/>
        </w:rPr>
        <w:t>enquêteur</w:t>
      </w:r>
      <w:r>
        <w:t>·</w:t>
      </w:r>
      <w:r>
        <w:rPr>
          <w:rFonts w:ascii="Times New Roman" w:eastAsia="Times New Roman" w:hAnsi="Times New Roman" w:cs="Times New Roman"/>
          <w:sz w:val="24"/>
          <w:szCs w:val="24"/>
        </w:rPr>
        <w:t>ice</w:t>
      </w:r>
      <w:r>
        <w:t>·</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enquêté·e·s</w:t>
      </w:r>
      <w:proofErr w:type="spellEnd"/>
      <w:r>
        <w:rPr>
          <w:rFonts w:ascii="Times New Roman" w:eastAsia="Times New Roman" w:hAnsi="Times New Roman" w:cs="Times New Roman"/>
          <w:sz w:val="24"/>
          <w:szCs w:val="24"/>
        </w:rPr>
        <w:t xml:space="preserve"> peut être plus ou moins grand et se manifester – notamment – par le langage utilisé, menant alors potentiellement à une disqualification sociale de l’</w:t>
      </w:r>
      <w:proofErr w:type="spellStart"/>
      <w:r>
        <w:rPr>
          <w:rFonts w:ascii="Times New Roman" w:eastAsia="Times New Roman" w:hAnsi="Times New Roman" w:cs="Times New Roman"/>
          <w:sz w:val="24"/>
          <w:szCs w:val="24"/>
        </w:rPr>
        <w:t>enquêteur·ice</w:t>
      </w:r>
      <w:proofErr w:type="spellEnd"/>
      <w:r>
        <w:rPr>
          <w:rFonts w:ascii="Times New Roman" w:eastAsia="Times New Roman" w:hAnsi="Times New Roman" w:cs="Times New Roman"/>
          <w:sz w:val="24"/>
          <w:szCs w:val="24"/>
        </w:rPr>
        <w:t xml:space="preserve"> et changeant la relation sociale d'enquête. Par exemple, l’</w:t>
      </w:r>
      <w:proofErr w:type="spellStart"/>
      <w:r>
        <w:rPr>
          <w:rFonts w:ascii="Times New Roman" w:eastAsia="Times New Roman" w:hAnsi="Times New Roman" w:cs="Times New Roman"/>
          <w:sz w:val="24"/>
          <w:szCs w:val="24"/>
        </w:rPr>
        <w:t>enquêté·e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dominé·e</w:t>
      </w:r>
      <w:proofErr w:type="spellEnd"/>
      <w:r>
        <w:rPr>
          <w:rFonts w:ascii="Times New Roman" w:eastAsia="Times New Roman" w:hAnsi="Times New Roman" w:cs="Times New Roman"/>
          <w:sz w:val="24"/>
          <w:szCs w:val="24"/>
        </w:rPr>
        <w:t xml:space="preserve"> pourrait “se braquer” et faire cesser l’entretien de manière prématurée face à l’utilisation d’un vocabulaire qui n’est pas le sien</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 au contraire, </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enquêté·e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dominant·e</w:t>
      </w:r>
      <w:proofErr w:type="spellEnd"/>
      <w:r>
        <w:rPr>
          <w:rFonts w:ascii="Times New Roman" w:eastAsia="Times New Roman" w:hAnsi="Times New Roman" w:cs="Times New Roman"/>
          <w:sz w:val="24"/>
          <w:szCs w:val="24"/>
        </w:rPr>
        <w:t xml:space="preserve"> pourrait se sentir </w:t>
      </w:r>
      <w:proofErr w:type="spellStart"/>
      <w:r>
        <w:rPr>
          <w:rFonts w:ascii="Times New Roman" w:eastAsia="Times New Roman" w:hAnsi="Times New Roman" w:cs="Times New Roman"/>
          <w:sz w:val="24"/>
          <w:szCs w:val="24"/>
        </w:rPr>
        <w:t>investi·e</w:t>
      </w:r>
      <w:proofErr w:type="spellEnd"/>
      <w:r>
        <w:rPr>
          <w:rFonts w:ascii="Times New Roman" w:eastAsia="Times New Roman" w:hAnsi="Times New Roman" w:cs="Times New Roman"/>
          <w:sz w:val="24"/>
          <w:szCs w:val="24"/>
        </w:rPr>
        <w:t xml:space="preserve"> d’une mission pédagogique à l’égard d’</w:t>
      </w:r>
      <w:proofErr w:type="spellStart"/>
      <w:r>
        <w:rPr>
          <w:rFonts w:ascii="Times New Roman" w:eastAsia="Times New Roman" w:hAnsi="Times New Roman" w:cs="Times New Roman"/>
          <w:sz w:val="24"/>
          <w:szCs w:val="24"/>
        </w:rPr>
        <w:t>un·e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enquêteur·ice</w:t>
      </w:r>
      <w:proofErr w:type="spellEnd"/>
      <w:r>
        <w:rPr>
          <w:rFonts w:ascii="Times New Roman" w:eastAsia="Times New Roman" w:hAnsi="Times New Roman" w:cs="Times New Roman"/>
          <w:sz w:val="24"/>
          <w:szCs w:val="24"/>
        </w:rPr>
        <w:t xml:space="preserve"> apparaissant comme profane, ne maîtrisant pas le sujet</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Il s’agit donc d’être réflexif lors de l'usage de nos mots dans la pratique de l’enquête, car ceux-ci peuvent donner à voir la distance sociale et conditionner non seulement le déroulement, mais aussi la réalisation même de l’enquête. Quel rapport a alors l’</w:t>
      </w:r>
      <w:proofErr w:type="spellStart"/>
      <w:r>
        <w:rPr>
          <w:rFonts w:ascii="Times New Roman" w:eastAsia="Times New Roman" w:hAnsi="Times New Roman" w:cs="Times New Roman"/>
          <w:sz w:val="24"/>
          <w:szCs w:val="24"/>
        </w:rPr>
        <w:t>enquêteur·ice</w:t>
      </w:r>
      <w:proofErr w:type="spellEnd"/>
      <w:r>
        <w:rPr>
          <w:rFonts w:ascii="Times New Roman" w:eastAsia="Times New Roman" w:hAnsi="Times New Roman" w:cs="Times New Roman"/>
          <w:sz w:val="24"/>
          <w:szCs w:val="24"/>
        </w:rPr>
        <w:t xml:space="preserve"> face aux mots des </w:t>
      </w:r>
      <w:proofErr w:type="spellStart"/>
      <w:r>
        <w:rPr>
          <w:rFonts w:ascii="Times New Roman" w:eastAsia="Times New Roman" w:hAnsi="Times New Roman" w:cs="Times New Roman"/>
          <w:sz w:val="24"/>
          <w:szCs w:val="24"/>
        </w:rPr>
        <w:t>enquêté·e·s</w:t>
      </w:r>
      <w:proofErr w:type="spellEnd"/>
      <w:r>
        <w:rPr>
          <w:rFonts w:ascii="Times New Roman" w:eastAsia="Times New Roman" w:hAnsi="Times New Roman" w:cs="Times New Roman"/>
          <w:sz w:val="24"/>
          <w:szCs w:val="24"/>
        </w:rPr>
        <w:t xml:space="preserve"> et comment les traite-t-il/elle ?</w:t>
      </w:r>
    </w:p>
    <w:p w14:paraId="0000002A" w14:textId="77777777" w:rsidR="00D818B6" w:rsidRDefault="00305FF0">
      <w:pPr>
        <w:spacing w:before="240" w:after="240"/>
        <w:ind w:firstLine="700"/>
        <w:jc w:val="both"/>
        <w:rPr>
          <w:rFonts w:ascii="Times New Roman" w:eastAsia="Times New Roman" w:hAnsi="Times New Roman" w:cs="Times New Roman"/>
          <w:sz w:val="24"/>
          <w:szCs w:val="24"/>
        </w:rPr>
      </w:pPr>
      <w:r>
        <w:rPr>
          <w:rFonts w:ascii="Times New Roman" w:eastAsia="Times New Roman" w:hAnsi="Times New Roman" w:cs="Times New Roman"/>
          <w:color w:val="202122"/>
          <w:sz w:val="24"/>
          <w:szCs w:val="24"/>
          <w:highlight w:val="white"/>
        </w:rPr>
        <w:t xml:space="preserve">D’autre part, dans le cadre d’une méthodologie qualitative, il faut aussi adopter une démarche réflexive quant aux mots des </w:t>
      </w:r>
      <w:proofErr w:type="spellStart"/>
      <w:r>
        <w:rPr>
          <w:rFonts w:ascii="Times New Roman" w:eastAsia="Times New Roman" w:hAnsi="Times New Roman" w:cs="Times New Roman"/>
          <w:color w:val="202122"/>
          <w:sz w:val="24"/>
          <w:szCs w:val="24"/>
          <w:highlight w:val="white"/>
        </w:rPr>
        <w:t>enquêté</w:t>
      </w:r>
      <w:r>
        <w:rPr>
          <w:rFonts w:ascii="Times New Roman" w:eastAsia="Times New Roman" w:hAnsi="Times New Roman" w:cs="Times New Roman"/>
          <w:sz w:val="24"/>
          <w:szCs w:val="24"/>
        </w:rPr>
        <w:t>·e·s</w:t>
      </w:r>
      <w:proofErr w:type="spellEnd"/>
      <w:r>
        <w:rPr>
          <w:rFonts w:ascii="Times New Roman" w:eastAsia="Times New Roman" w:hAnsi="Times New Roman" w:cs="Times New Roman"/>
          <w:color w:val="202122"/>
          <w:sz w:val="24"/>
          <w:szCs w:val="24"/>
          <w:highlight w:val="white"/>
        </w:rPr>
        <w:t xml:space="preserve"> : quel crédit donner à leur discours ? Quelle </w:t>
      </w:r>
      <w:r>
        <w:rPr>
          <w:rFonts w:ascii="Times New Roman" w:eastAsia="Times New Roman" w:hAnsi="Times New Roman" w:cs="Times New Roman"/>
          <w:color w:val="202122"/>
          <w:sz w:val="24"/>
          <w:szCs w:val="24"/>
          <w:highlight w:val="white"/>
        </w:rPr>
        <w:lastRenderedPageBreak/>
        <w:t xml:space="preserve">importance accorder aux catégories et représentations </w:t>
      </w:r>
      <w:proofErr w:type="gramStart"/>
      <w:r>
        <w:rPr>
          <w:rFonts w:ascii="Times New Roman" w:eastAsia="Times New Roman" w:hAnsi="Times New Roman" w:cs="Times New Roman"/>
          <w:color w:val="202122"/>
          <w:sz w:val="24"/>
          <w:szCs w:val="24"/>
          <w:highlight w:val="white"/>
        </w:rPr>
        <w:t>indigènes?</w:t>
      </w:r>
      <w:proofErr w:type="gramEnd"/>
      <w:r>
        <w:rPr>
          <w:rFonts w:ascii="Times New Roman" w:eastAsia="Times New Roman" w:hAnsi="Times New Roman" w:cs="Times New Roman"/>
          <w:color w:val="202122"/>
          <w:sz w:val="24"/>
          <w:szCs w:val="24"/>
          <w:highlight w:val="white"/>
          <w:vertAlign w:val="superscript"/>
        </w:rPr>
        <w:footnoteReference w:id="28"/>
      </w:r>
      <w:r>
        <w:rPr>
          <w:rFonts w:ascii="Times New Roman" w:eastAsia="Times New Roman" w:hAnsi="Times New Roman" w:cs="Times New Roman"/>
          <w:color w:val="202122"/>
          <w:sz w:val="24"/>
          <w:szCs w:val="24"/>
          <w:highlight w:val="white"/>
        </w:rPr>
        <w:t xml:space="preserve"> Ces questions dépendent de l’objectif de la démarche et des paradigmes revendiqués. Celle-ci a-t-elle pour objectif de saisir l’univers de vie et/ou l’univers de sens</w:t>
      </w:r>
      <w:r>
        <w:rPr>
          <w:rFonts w:ascii="Times New Roman" w:eastAsia="Times New Roman" w:hAnsi="Times New Roman" w:cs="Times New Roman"/>
          <w:color w:val="202122"/>
          <w:sz w:val="24"/>
          <w:szCs w:val="24"/>
          <w:highlight w:val="white"/>
          <w:vertAlign w:val="superscript"/>
        </w:rPr>
        <w:footnoteReference w:id="29"/>
      </w:r>
      <w:r>
        <w:rPr>
          <w:rFonts w:ascii="Times New Roman" w:eastAsia="Times New Roman" w:hAnsi="Times New Roman" w:cs="Times New Roman"/>
          <w:color w:val="202122"/>
          <w:sz w:val="24"/>
          <w:szCs w:val="24"/>
          <w:highlight w:val="white"/>
        </w:rPr>
        <w:t xml:space="preserve"> des </w:t>
      </w:r>
      <w:proofErr w:type="spellStart"/>
      <w:r>
        <w:rPr>
          <w:rFonts w:ascii="Times New Roman" w:eastAsia="Times New Roman" w:hAnsi="Times New Roman" w:cs="Times New Roman"/>
          <w:color w:val="202122"/>
          <w:sz w:val="24"/>
          <w:szCs w:val="24"/>
          <w:highlight w:val="white"/>
        </w:rPr>
        <w:t>enquêté</w:t>
      </w:r>
      <w:r>
        <w:rPr>
          <w:rFonts w:ascii="Times New Roman" w:eastAsia="Times New Roman" w:hAnsi="Times New Roman" w:cs="Times New Roman"/>
          <w:sz w:val="24"/>
          <w:szCs w:val="24"/>
        </w:rPr>
        <w:t>·e·</w:t>
      </w:r>
      <w:proofErr w:type="gramStart"/>
      <w:r>
        <w:rPr>
          <w:rFonts w:ascii="Times New Roman" w:eastAsia="Times New Roman" w:hAnsi="Times New Roman" w:cs="Times New Roman"/>
          <w:color w:val="202122"/>
          <w:sz w:val="24"/>
          <w:szCs w:val="24"/>
          <w:highlight w:val="white"/>
        </w:rPr>
        <w:t>s</w:t>
      </w:r>
      <w:proofErr w:type="spellEnd"/>
      <w:r>
        <w:rPr>
          <w:rFonts w:ascii="Times New Roman" w:eastAsia="Times New Roman" w:hAnsi="Times New Roman" w:cs="Times New Roman"/>
          <w:color w:val="202122"/>
          <w:sz w:val="24"/>
          <w:szCs w:val="24"/>
          <w:highlight w:val="white"/>
        </w:rPr>
        <w:t>?</w:t>
      </w:r>
      <w:proofErr w:type="gramEnd"/>
      <w:r>
        <w:rPr>
          <w:rFonts w:ascii="Times New Roman" w:eastAsia="Times New Roman" w:hAnsi="Times New Roman" w:cs="Times New Roman"/>
          <w:color w:val="202122"/>
          <w:sz w:val="24"/>
          <w:szCs w:val="24"/>
          <w:highlight w:val="white"/>
        </w:rPr>
        <w:t xml:space="preserve"> C’est donc de la posture épistémologique du/de la </w:t>
      </w:r>
      <w:proofErr w:type="spellStart"/>
      <w:r>
        <w:rPr>
          <w:rFonts w:ascii="Times New Roman" w:eastAsia="Times New Roman" w:hAnsi="Times New Roman" w:cs="Times New Roman"/>
          <w:color w:val="202122"/>
          <w:sz w:val="24"/>
          <w:szCs w:val="24"/>
          <w:highlight w:val="white"/>
        </w:rPr>
        <w:t>chercheur·e</w:t>
      </w:r>
      <w:proofErr w:type="spellEnd"/>
      <w:r>
        <w:rPr>
          <w:rFonts w:ascii="Times New Roman" w:eastAsia="Times New Roman" w:hAnsi="Times New Roman" w:cs="Times New Roman"/>
          <w:color w:val="202122"/>
          <w:sz w:val="24"/>
          <w:szCs w:val="24"/>
          <w:highlight w:val="white"/>
        </w:rPr>
        <w:t xml:space="preserve"> que va dépendre le type d’analyse du discours et des conditions de production de celui-ci. En effet, un des enjeux réflexifs est d’appréhender l’impact de sa présence sur le terrain comme </w:t>
      </w:r>
      <w:proofErr w:type="spellStart"/>
      <w:r>
        <w:rPr>
          <w:rFonts w:ascii="Times New Roman" w:eastAsia="Times New Roman" w:hAnsi="Times New Roman" w:cs="Times New Roman"/>
          <w:color w:val="202122"/>
          <w:sz w:val="24"/>
          <w:szCs w:val="24"/>
          <w:highlight w:val="white"/>
        </w:rPr>
        <w:t>chercheur</w:t>
      </w:r>
      <w:r>
        <w:rPr>
          <w:rFonts w:ascii="Times New Roman" w:eastAsia="Times New Roman" w:hAnsi="Times New Roman" w:cs="Times New Roman"/>
          <w:sz w:val="24"/>
          <w:szCs w:val="24"/>
        </w:rPr>
        <w:t>·</w:t>
      </w:r>
      <w:r>
        <w:rPr>
          <w:rFonts w:ascii="Times New Roman" w:eastAsia="Times New Roman" w:hAnsi="Times New Roman" w:cs="Times New Roman"/>
          <w:color w:val="202122"/>
          <w:sz w:val="24"/>
          <w:szCs w:val="24"/>
          <w:highlight w:val="white"/>
        </w:rPr>
        <w:t>e</w:t>
      </w:r>
      <w:proofErr w:type="spellEnd"/>
      <w:r>
        <w:rPr>
          <w:rFonts w:ascii="Times New Roman" w:eastAsia="Times New Roman" w:hAnsi="Times New Roman" w:cs="Times New Roman"/>
          <w:color w:val="202122"/>
          <w:sz w:val="24"/>
          <w:szCs w:val="24"/>
          <w:highlight w:val="white"/>
        </w:rPr>
        <w:t>, sur les mots recueillis lors de l’enquête</w:t>
      </w:r>
      <w:r>
        <w:rPr>
          <w:rFonts w:ascii="Times New Roman" w:eastAsia="Times New Roman" w:hAnsi="Times New Roman" w:cs="Times New Roman"/>
          <w:color w:val="202122"/>
          <w:sz w:val="24"/>
          <w:szCs w:val="24"/>
          <w:highlight w:val="white"/>
          <w:vertAlign w:val="superscript"/>
        </w:rPr>
        <w:footnoteReference w:id="30"/>
      </w:r>
      <w:r>
        <w:rPr>
          <w:rFonts w:ascii="Times New Roman" w:eastAsia="Times New Roman" w:hAnsi="Times New Roman" w:cs="Times New Roman"/>
          <w:color w:val="202122"/>
          <w:sz w:val="24"/>
          <w:szCs w:val="24"/>
          <w:highlight w:val="white"/>
        </w:rPr>
        <w:t>, voire de relever l’importance de la relation sociale pour l’utilisation d’étiquette</w:t>
      </w:r>
      <w:r>
        <w:rPr>
          <w:rFonts w:ascii="Times New Roman" w:eastAsia="Times New Roman" w:hAnsi="Times New Roman" w:cs="Times New Roman"/>
          <w:i/>
          <w:color w:val="202122"/>
          <w:sz w:val="24"/>
          <w:szCs w:val="24"/>
          <w:highlight w:val="white"/>
        </w:rPr>
        <w:t xml:space="preserve">. </w:t>
      </w:r>
      <w:r>
        <w:rPr>
          <w:rFonts w:ascii="Times New Roman" w:eastAsia="Times New Roman" w:hAnsi="Times New Roman" w:cs="Times New Roman"/>
          <w:color w:val="202122"/>
          <w:sz w:val="24"/>
          <w:szCs w:val="24"/>
          <w:highlight w:val="white"/>
        </w:rPr>
        <w:t>Finalement, nous pouvons penser l’intérêt de s’adapter à son terrain dans le but d’obtenir des données d’enquête</w:t>
      </w:r>
      <w:r>
        <w:rPr>
          <w:rFonts w:ascii="Times New Roman" w:eastAsia="Times New Roman" w:hAnsi="Times New Roman" w:cs="Times New Roman"/>
          <w:color w:val="202122"/>
          <w:sz w:val="24"/>
          <w:szCs w:val="24"/>
          <w:highlight w:val="white"/>
          <w:vertAlign w:val="superscript"/>
        </w:rPr>
        <w:footnoteReference w:id="31"/>
      </w:r>
      <w:r>
        <w:rPr>
          <w:rFonts w:ascii="Times New Roman" w:eastAsia="Times New Roman" w:hAnsi="Times New Roman" w:cs="Times New Roman"/>
          <w:color w:val="202122"/>
          <w:sz w:val="24"/>
          <w:szCs w:val="24"/>
          <w:highlight w:val="white"/>
        </w:rPr>
        <w:t xml:space="preserve">, comme celui de s’immerger dans une culture locale pour emprunter les </w:t>
      </w:r>
      <w:r>
        <w:rPr>
          <w:rFonts w:ascii="Times New Roman" w:eastAsia="Times New Roman" w:hAnsi="Times New Roman" w:cs="Times New Roman"/>
          <w:sz w:val="24"/>
          <w:szCs w:val="24"/>
          <w:highlight w:val="white"/>
        </w:rPr>
        <w:t xml:space="preserve">catégories des enquêtés et comprendre le sens qu’ils donnent aux mots. </w:t>
      </w:r>
    </w:p>
    <w:p w14:paraId="0000002B" w14:textId="77777777" w:rsidR="00D818B6" w:rsidRDefault="00305FF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Pour s’intéresser de manière approfondie aux discours et catégories des </w:t>
      </w:r>
      <w:proofErr w:type="spellStart"/>
      <w:r>
        <w:rPr>
          <w:rFonts w:ascii="Times New Roman" w:eastAsia="Times New Roman" w:hAnsi="Times New Roman" w:cs="Times New Roman"/>
          <w:sz w:val="24"/>
          <w:szCs w:val="24"/>
          <w:highlight w:val="white"/>
        </w:rPr>
        <w:t>enquêté.</w:t>
      </w:r>
      <w:proofErr w:type="gramStart"/>
      <w:r>
        <w:rPr>
          <w:rFonts w:ascii="Times New Roman" w:eastAsia="Times New Roman" w:hAnsi="Times New Roman" w:cs="Times New Roman"/>
          <w:sz w:val="24"/>
          <w:szCs w:val="24"/>
          <w:highlight w:val="white"/>
        </w:rPr>
        <w:t>e.s</w:t>
      </w:r>
      <w:proofErr w:type="spellEnd"/>
      <w:proofErr w:type="gram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202122"/>
          <w:sz w:val="24"/>
          <w:szCs w:val="24"/>
          <w:highlight w:val="white"/>
        </w:rPr>
        <w:t>la sociologie et la science politique ont parfois emprunté aux autres disciplines des manières alternatives de recueillir et d’analyser la parole. On pensera à la linguistique d’abord avec l'analyse de la conversation</w:t>
      </w:r>
      <w:r>
        <w:rPr>
          <w:rFonts w:ascii="Times New Roman" w:eastAsia="Times New Roman" w:hAnsi="Times New Roman" w:cs="Times New Roman"/>
          <w:color w:val="202122"/>
          <w:sz w:val="24"/>
          <w:szCs w:val="24"/>
          <w:highlight w:val="white"/>
          <w:vertAlign w:val="superscript"/>
        </w:rPr>
        <w:footnoteReference w:id="32"/>
      </w:r>
      <w:r>
        <w:rPr>
          <w:rFonts w:ascii="Times New Roman" w:eastAsia="Times New Roman" w:hAnsi="Times New Roman" w:cs="Times New Roman"/>
          <w:color w:val="202122"/>
          <w:sz w:val="24"/>
          <w:szCs w:val="24"/>
          <w:highlight w:val="white"/>
        </w:rPr>
        <w:t>, les sciences de la communication et la lexicométrie</w:t>
      </w:r>
      <w:r>
        <w:rPr>
          <w:rFonts w:ascii="Times New Roman" w:eastAsia="Times New Roman" w:hAnsi="Times New Roman" w:cs="Times New Roman"/>
          <w:color w:val="202122"/>
          <w:sz w:val="24"/>
          <w:szCs w:val="24"/>
          <w:highlight w:val="white"/>
          <w:vertAlign w:val="superscript"/>
        </w:rPr>
        <w:footnoteReference w:id="33"/>
      </w:r>
      <w:r>
        <w:rPr>
          <w:rFonts w:ascii="Times New Roman" w:eastAsia="Times New Roman" w:hAnsi="Times New Roman" w:cs="Times New Roman"/>
          <w:color w:val="202122"/>
          <w:sz w:val="24"/>
          <w:szCs w:val="24"/>
          <w:highlight w:val="white"/>
        </w:rPr>
        <w:t>, la psychologie qui propose d’apporter des éléments extérieurs</w:t>
      </w:r>
      <w:r>
        <w:rPr>
          <w:rFonts w:ascii="Times New Roman" w:eastAsia="Times New Roman" w:hAnsi="Times New Roman" w:cs="Times New Roman"/>
          <w:color w:val="202122"/>
          <w:sz w:val="24"/>
          <w:szCs w:val="24"/>
          <w:highlight w:val="white"/>
          <w:vertAlign w:val="superscript"/>
        </w:rPr>
        <w:footnoteReference w:id="34"/>
      </w:r>
      <w:r>
        <w:rPr>
          <w:rFonts w:ascii="Times New Roman" w:eastAsia="Times New Roman" w:hAnsi="Times New Roman" w:cs="Times New Roman"/>
          <w:color w:val="202122"/>
          <w:sz w:val="24"/>
          <w:szCs w:val="24"/>
          <w:highlight w:val="white"/>
        </w:rPr>
        <w:t xml:space="preserve"> (jeu, photographie), la codification et les listes à l’histoire</w:t>
      </w:r>
      <w:r>
        <w:rPr>
          <w:rFonts w:ascii="Times New Roman" w:eastAsia="Times New Roman" w:hAnsi="Times New Roman" w:cs="Times New Roman"/>
          <w:color w:val="202122"/>
          <w:sz w:val="24"/>
          <w:szCs w:val="24"/>
          <w:highlight w:val="white"/>
          <w:vertAlign w:val="superscript"/>
        </w:rPr>
        <w:footnoteReference w:id="35"/>
      </w:r>
      <w:r>
        <w:rPr>
          <w:rFonts w:ascii="Times New Roman" w:eastAsia="Times New Roman" w:hAnsi="Times New Roman" w:cs="Times New Roman"/>
          <w:color w:val="202122"/>
          <w:sz w:val="24"/>
          <w:szCs w:val="24"/>
          <w:highlight w:val="white"/>
        </w:rPr>
        <w:t xml:space="preserve"> et même au marketing avec l’entretien par </w:t>
      </w:r>
      <w:r>
        <w:rPr>
          <w:rFonts w:ascii="Times New Roman" w:eastAsia="Times New Roman" w:hAnsi="Times New Roman" w:cs="Times New Roman"/>
          <w:i/>
          <w:color w:val="202122"/>
          <w:sz w:val="24"/>
          <w:szCs w:val="24"/>
          <w:highlight w:val="white"/>
        </w:rPr>
        <w:t xml:space="preserve">photo </w:t>
      </w:r>
      <w:proofErr w:type="spellStart"/>
      <w:r>
        <w:rPr>
          <w:rFonts w:ascii="Times New Roman" w:eastAsia="Times New Roman" w:hAnsi="Times New Roman" w:cs="Times New Roman"/>
          <w:i/>
          <w:color w:val="202122"/>
          <w:sz w:val="24"/>
          <w:szCs w:val="24"/>
          <w:highlight w:val="white"/>
        </w:rPr>
        <w:t>elicitation</w:t>
      </w:r>
      <w:proofErr w:type="spellEnd"/>
      <w:r>
        <w:rPr>
          <w:rFonts w:ascii="Times New Roman" w:eastAsia="Times New Roman" w:hAnsi="Times New Roman" w:cs="Times New Roman"/>
          <w:color w:val="202122"/>
          <w:sz w:val="24"/>
          <w:szCs w:val="24"/>
          <w:highlight w:val="white"/>
          <w:vertAlign w:val="superscript"/>
        </w:rPr>
        <w:footnoteReference w:id="36"/>
      </w:r>
      <w:r>
        <w:rPr>
          <w:rFonts w:ascii="Times New Roman" w:eastAsia="Times New Roman" w:hAnsi="Times New Roman" w:cs="Times New Roman"/>
          <w:color w:val="202122"/>
          <w:sz w:val="24"/>
          <w:szCs w:val="24"/>
          <w:highlight w:val="white"/>
        </w:rPr>
        <w:t>.</w:t>
      </w:r>
    </w:p>
    <w:p w14:paraId="0000002C" w14:textId="77777777" w:rsidR="00D818B6" w:rsidRDefault="00D818B6">
      <w:pPr>
        <w:shd w:val="clear" w:color="auto" w:fill="FFFFFF"/>
        <w:jc w:val="both"/>
        <w:rPr>
          <w:rFonts w:ascii="Times New Roman" w:eastAsia="Times New Roman" w:hAnsi="Times New Roman" w:cs="Times New Roman"/>
          <w:sz w:val="24"/>
          <w:szCs w:val="24"/>
        </w:rPr>
      </w:pPr>
    </w:p>
    <w:p w14:paraId="0000002D" w14:textId="77777777" w:rsidR="00D818B6" w:rsidRDefault="00305FF0">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ces méthodes sont intéressantes, il faudra prendre garde à vouloir à tout prix faire rentrer un terrain dans une méthodologie</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Nous pourrons donc nous intéresser à la relation qui lie l’objet, le terrain d’enquête et la méthodologie utilisée. Il sera alors intéressant de réfléchir à l’apport effectif de ces méthodes et se poser la question des “tendances” dans les méthodologies des sciences sociales.</w:t>
      </w:r>
    </w:p>
    <w:p w14:paraId="0000002E" w14:textId="77777777" w:rsidR="00D818B6" w:rsidRDefault="00D818B6">
      <w:pPr>
        <w:shd w:val="clear" w:color="auto" w:fill="FFFFFF"/>
        <w:spacing w:line="240" w:lineRule="auto"/>
        <w:jc w:val="both"/>
        <w:rPr>
          <w:rFonts w:ascii="Times New Roman" w:eastAsia="Times New Roman" w:hAnsi="Times New Roman" w:cs="Times New Roman"/>
          <w:sz w:val="24"/>
          <w:szCs w:val="24"/>
        </w:rPr>
      </w:pPr>
    </w:p>
    <w:p w14:paraId="0000002F" w14:textId="77777777" w:rsidR="00D818B6" w:rsidRDefault="00305FF0">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00000030" w14:textId="77777777" w:rsidR="00D818B6" w:rsidRDefault="00305FF0">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31" w14:textId="77777777" w:rsidR="00D818B6" w:rsidRDefault="00D818B6">
      <w:pPr>
        <w:shd w:val="clear" w:color="auto" w:fill="FFFFFF"/>
        <w:jc w:val="center"/>
        <w:rPr>
          <w:rFonts w:ascii="Times New Roman" w:eastAsia="Times New Roman" w:hAnsi="Times New Roman" w:cs="Times New Roman"/>
          <w:sz w:val="24"/>
          <w:szCs w:val="24"/>
        </w:rPr>
      </w:pPr>
    </w:p>
    <w:p w14:paraId="00000032" w14:textId="77777777" w:rsidR="00D818B6" w:rsidRDefault="00305FF0">
      <w:pPr>
        <w:shd w:val="clear" w:color="auto" w:fill="FFFFFF"/>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Cette journée d’étude s’adresse aux </w:t>
      </w:r>
      <w:proofErr w:type="spellStart"/>
      <w:r>
        <w:rPr>
          <w:rFonts w:ascii="Times New Roman" w:eastAsia="Times New Roman" w:hAnsi="Times New Roman" w:cs="Times New Roman"/>
          <w:sz w:val="24"/>
          <w:szCs w:val="24"/>
        </w:rPr>
        <w:t>masterant·e·s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doctorant·e·s</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chercheur·e·s</w:t>
      </w:r>
      <w:proofErr w:type="spellEnd"/>
      <w:r>
        <w:rPr>
          <w:rFonts w:ascii="Times New Roman" w:eastAsia="Times New Roman" w:hAnsi="Times New Roman" w:cs="Times New Roman"/>
          <w:sz w:val="24"/>
          <w:szCs w:val="24"/>
        </w:rPr>
        <w:t xml:space="preserve"> en sciences sociales (anthropologie, histoire, science politique, sociologie…) voulant exposer leurs recherches sur ces thématiques. Les propositions de communication pourront s’inscrire dans chacun des trois axes présentés. Elles devront contenir un titre et un résumé d’une à deux pages précisant le matériau empirique. La date limite d’envoi de la proposition est le 25 février 2022. </w:t>
      </w:r>
    </w:p>
    <w:p w14:paraId="00000033" w14:textId="77777777" w:rsidR="00D818B6" w:rsidRDefault="00D818B6">
      <w:pPr>
        <w:shd w:val="clear" w:color="auto" w:fill="FFFFFF"/>
        <w:jc w:val="both"/>
        <w:rPr>
          <w:rFonts w:ascii="Times New Roman" w:eastAsia="Times New Roman" w:hAnsi="Times New Roman" w:cs="Times New Roman"/>
          <w:sz w:val="24"/>
          <w:szCs w:val="24"/>
        </w:rPr>
      </w:pPr>
    </w:p>
    <w:p w14:paraId="00000034" w14:textId="77777777" w:rsidR="00D818B6" w:rsidRDefault="00305FF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Adresse mail </w:t>
      </w:r>
      <w:r>
        <w:rPr>
          <w:rFonts w:ascii="Times New Roman" w:eastAsia="Times New Roman" w:hAnsi="Times New Roman" w:cs="Times New Roman"/>
          <w:sz w:val="24"/>
          <w:szCs w:val="24"/>
        </w:rPr>
        <w:t>: M2EAPP@protonmail.com</w:t>
      </w:r>
    </w:p>
    <w:p w14:paraId="00000035" w14:textId="77777777" w:rsidR="00D818B6" w:rsidRDefault="00D818B6">
      <w:pPr>
        <w:jc w:val="both"/>
        <w:rPr>
          <w:rFonts w:ascii="Times New Roman" w:eastAsia="Times New Roman" w:hAnsi="Times New Roman" w:cs="Times New Roman"/>
          <w:sz w:val="24"/>
          <w:szCs w:val="24"/>
        </w:rPr>
      </w:pPr>
    </w:p>
    <w:p w14:paraId="00000036" w14:textId="2F4B50C5" w:rsidR="00D818B6" w:rsidRDefault="00305FF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journée d’étude se déroulera début avril, sur le campus de l’université Lumière Lyon </w:t>
      </w:r>
      <w:r w:rsidR="006953B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En raison du contexte sanitaire, il sera possible d’y participer à distance en visioconférence. </w:t>
      </w:r>
    </w:p>
    <w:p w14:paraId="00000037" w14:textId="77777777" w:rsidR="00D818B6" w:rsidRDefault="00D818B6">
      <w:pPr>
        <w:shd w:val="clear" w:color="auto" w:fill="FFFFFF"/>
        <w:spacing w:after="160"/>
        <w:jc w:val="both"/>
        <w:rPr>
          <w:rFonts w:ascii="Roboto" w:eastAsia="Roboto" w:hAnsi="Roboto" w:cs="Roboto"/>
          <w:color w:val="333333"/>
          <w:sz w:val="20"/>
          <w:szCs w:val="20"/>
        </w:rPr>
      </w:pPr>
    </w:p>
    <w:p w14:paraId="00000038" w14:textId="77777777" w:rsidR="00D818B6" w:rsidRDefault="00305FF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Comité d’organisation :</w:t>
      </w:r>
    </w:p>
    <w:p w14:paraId="00000039" w14:textId="15529247" w:rsidR="00D818B6" w:rsidRDefault="00305F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Promotion 2021-2022 du Master 2 de Science politique - sociologie politique - enquête et analyse des processus politiques (EAPP) de l’université Lumière Lyon </w:t>
      </w:r>
      <w:r w:rsidR="006953B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 Anouchka </w:t>
      </w:r>
      <w:proofErr w:type="spellStart"/>
      <w:r>
        <w:rPr>
          <w:rFonts w:ascii="Times New Roman" w:eastAsia="Times New Roman" w:hAnsi="Times New Roman" w:cs="Times New Roman"/>
          <w:sz w:val="24"/>
          <w:szCs w:val="24"/>
        </w:rPr>
        <w:t>Abelé</w:t>
      </w:r>
      <w:proofErr w:type="spellEnd"/>
      <w:r>
        <w:rPr>
          <w:rFonts w:ascii="Times New Roman" w:eastAsia="Times New Roman" w:hAnsi="Times New Roman" w:cs="Times New Roman"/>
          <w:sz w:val="24"/>
          <w:szCs w:val="24"/>
        </w:rPr>
        <w:t xml:space="preserve">, Soukaina </w:t>
      </w:r>
      <w:proofErr w:type="spellStart"/>
      <w:r>
        <w:rPr>
          <w:rFonts w:ascii="Times New Roman" w:eastAsia="Times New Roman" w:hAnsi="Times New Roman" w:cs="Times New Roman"/>
          <w:sz w:val="24"/>
          <w:szCs w:val="24"/>
        </w:rPr>
        <w:t>Aghezzaf</w:t>
      </w:r>
      <w:proofErr w:type="spellEnd"/>
      <w:r>
        <w:rPr>
          <w:rFonts w:ascii="Times New Roman" w:eastAsia="Times New Roman" w:hAnsi="Times New Roman" w:cs="Times New Roman"/>
          <w:sz w:val="24"/>
          <w:szCs w:val="24"/>
        </w:rPr>
        <w:t xml:space="preserve">, Thomas Alonzo, Alec </w:t>
      </w:r>
      <w:proofErr w:type="spellStart"/>
      <w:r>
        <w:rPr>
          <w:rFonts w:ascii="Times New Roman" w:eastAsia="Times New Roman" w:hAnsi="Times New Roman" w:cs="Times New Roman"/>
          <w:sz w:val="24"/>
          <w:szCs w:val="24"/>
        </w:rPr>
        <w:t>Bimes</w:t>
      </w:r>
      <w:proofErr w:type="spellEnd"/>
      <w:r>
        <w:rPr>
          <w:rFonts w:ascii="Times New Roman" w:eastAsia="Times New Roman" w:hAnsi="Times New Roman" w:cs="Times New Roman"/>
          <w:sz w:val="24"/>
          <w:szCs w:val="24"/>
        </w:rPr>
        <w:t xml:space="preserve">, Mathilde </w:t>
      </w:r>
      <w:proofErr w:type="spellStart"/>
      <w:r>
        <w:rPr>
          <w:rFonts w:ascii="Times New Roman" w:eastAsia="Times New Roman" w:hAnsi="Times New Roman" w:cs="Times New Roman"/>
          <w:sz w:val="24"/>
          <w:szCs w:val="24"/>
        </w:rPr>
        <w:t>Gelmini</w:t>
      </w:r>
      <w:proofErr w:type="spellEnd"/>
      <w:r>
        <w:rPr>
          <w:rFonts w:ascii="Times New Roman" w:eastAsia="Times New Roman" w:hAnsi="Times New Roman" w:cs="Times New Roman"/>
          <w:sz w:val="24"/>
          <w:szCs w:val="24"/>
        </w:rPr>
        <w:t xml:space="preserve">, Margaux Rolland, Fabien Romand, </w:t>
      </w:r>
      <w:proofErr w:type="spellStart"/>
      <w:r>
        <w:rPr>
          <w:rFonts w:ascii="Times New Roman" w:eastAsia="Times New Roman" w:hAnsi="Times New Roman" w:cs="Times New Roman"/>
          <w:sz w:val="24"/>
          <w:szCs w:val="24"/>
        </w:rPr>
        <w:t>Heiko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Royet</w:t>
      </w:r>
      <w:proofErr w:type="spellEnd"/>
      <w:r>
        <w:rPr>
          <w:rFonts w:ascii="Times New Roman" w:eastAsia="Times New Roman" w:hAnsi="Times New Roman" w:cs="Times New Roman"/>
          <w:sz w:val="24"/>
          <w:szCs w:val="24"/>
        </w:rPr>
        <w:t xml:space="preserve">-Galante, </w:t>
      </w:r>
      <w:proofErr w:type="spellStart"/>
      <w:r>
        <w:rPr>
          <w:rFonts w:ascii="Times New Roman" w:eastAsia="Times New Roman" w:hAnsi="Times New Roman" w:cs="Times New Roman"/>
          <w:sz w:val="24"/>
          <w:szCs w:val="24"/>
        </w:rPr>
        <w:t>Lya</w:t>
      </w:r>
      <w:proofErr w:type="spellEnd"/>
      <w:r>
        <w:rPr>
          <w:rFonts w:ascii="Times New Roman" w:eastAsia="Times New Roman" w:hAnsi="Times New Roman" w:cs="Times New Roman"/>
          <w:sz w:val="24"/>
          <w:szCs w:val="24"/>
        </w:rPr>
        <w:t xml:space="preserve"> Vasseur, Ophélie Vervacke</w:t>
      </w:r>
    </w:p>
    <w:p w14:paraId="0000003A" w14:textId="77777777" w:rsidR="00D818B6" w:rsidRDefault="00305F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Sophie Béroud (enseignante-chercheuse, laboratoire Triangle, Lyon 2)</w:t>
      </w:r>
    </w:p>
    <w:p w14:paraId="0000003B" w14:textId="77777777" w:rsidR="00D818B6" w:rsidRDefault="00D818B6">
      <w:pPr>
        <w:jc w:val="both"/>
        <w:rPr>
          <w:rFonts w:ascii="Times New Roman" w:eastAsia="Times New Roman" w:hAnsi="Times New Roman" w:cs="Times New Roman"/>
          <w:sz w:val="24"/>
          <w:szCs w:val="24"/>
        </w:rPr>
      </w:pPr>
    </w:p>
    <w:p w14:paraId="0000003C" w14:textId="77777777" w:rsidR="00D818B6" w:rsidRDefault="00D818B6">
      <w:pPr>
        <w:jc w:val="both"/>
        <w:rPr>
          <w:rFonts w:ascii="Times New Roman" w:eastAsia="Times New Roman" w:hAnsi="Times New Roman" w:cs="Times New Roman"/>
          <w:sz w:val="24"/>
          <w:szCs w:val="24"/>
        </w:rPr>
      </w:pPr>
    </w:p>
    <w:sectPr w:rsidR="00D818B6">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DF6A" w14:textId="77777777" w:rsidR="00C81A97" w:rsidRDefault="00C81A97">
      <w:pPr>
        <w:spacing w:line="240" w:lineRule="auto"/>
      </w:pPr>
      <w:r>
        <w:separator/>
      </w:r>
    </w:p>
  </w:endnote>
  <w:endnote w:type="continuationSeparator" w:id="0">
    <w:p w14:paraId="6C28BBA1" w14:textId="77777777" w:rsidR="00C81A97" w:rsidRDefault="00C81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5B94" w14:textId="77777777" w:rsidR="00C81A97" w:rsidRDefault="00C81A97">
      <w:pPr>
        <w:spacing w:line="240" w:lineRule="auto"/>
      </w:pPr>
      <w:r>
        <w:separator/>
      </w:r>
    </w:p>
  </w:footnote>
  <w:footnote w:type="continuationSeparator" w:id="0">
    <w:p w14:paraId="78C68EB1" w14:textId="77777777" w:rsidR="00C81A97" w:rsidRDefault="00C81A97">
      <w:pPr>
        <w:spacing w:line="240" w:lineRule="auto"/>
      </w:pPr>
      <w:r>
        <w:continuationSeparator/>
      </w:r>
    </w:p>
  </w:footnote>
  <w:footnote w:id="1">
    <w:p w14:paraId="0000003F" w14:textId="77777777" w:rsidR="00D818B6" w:rsidRPr="008E5733" w:rsidRDefault="00305FF0">
      <w:pPr>
        <w:spacing w:line="240" w:lineRule="auto"/>
        <w:jc w:val="both"/>
        <w:rPr>
          <w:sz w:val="20"/>
          <w:szCs w:val="20"/>
          <w:lang w:val="en-US"/>
        </w:rPr>
      </w:pPr>
      <w:r>
        <w:rPr>
          <w:vertAlign w:val="superscript"/>
        </w:rPr>
        <w:footnoteRef/>
      </w:r>
      <w:r w:rsidRPr="008E5733">
        <w:rPr>
          <w:sz w:val="20"/>
          <w:szCs w:val="20"/>
          <w:lang w:val="en-US"/>
        </w:rPr>
        <w:t xml:space="preserve"> </w:t>
      </w:r>
      <w:r w:rsidRPr="008E5733">
        <w:rPr>
          <w:rFonts w:ascii="Times New Roman" w:eastAsia="Times New Roman" w:hAnsi="Times New Roman" w:cs="Times New Roman"/>
          <w:sz w:val="20"/>
          <w:szCs w:val="20"/>
          <w:lang w:val="en-US"/>
        </w:rPr>
        <w:t xml:space="preserve">Austin John L., </w:t>
      </w:r>
      <w:r w:rsidRPr="008E5733">
        <w:rPr>
          <w:rFonts w:ascii="Times New Roman" w:eastAsia="Times New Roman" w:hAnsi="Times New Roman" w:cs="Times New Roman"/>
          <w:i/>
          <w:sz w:val="20"/>
          <w:szCs w:val="20"/>
          <w:lang w:val="en-US"/>
        </w:rPr>
        <w:t>How to Do Things with Words</w:t>
      </w:r>
      <w:r w:rsidRPr="008E5733">
        <w:rPr>
          <w:rFonts w:ascii="Times New Roman" w:eastAsia="Times New Roman" w:hAnsi="Times New Roman" w:cs="Times New Roman"/>
          <w:sz w:val="20"/>
          <w:szCs w:val="20"/>
          <w:lang w:val="en-US"/>
        </w:rPr>
        <w:t xml:space="preserve">, Oxford, Oxford University Press, 1962; trad. </w:t>
      </w:r>
      <w:proofErr w:type="spellStart"/>
      <w:r w:rsidRPr="008E5733">
        <w:rPr>
          <w:rFonts w:ascii="Times New Roman" w:eastAsia="Times New Roman" w:hAnsi="Times New Roman" w:cs="Times New Roman"/>
          <w:sz w:val="20"/>
          <w:szCs w:val="20"/>
          <w:lang w:val="en-US"/>
        </w:rPr>
        <w:t>fr.</w:t>
      </w:r>
      <w:proofErr w:type="spellEnd"/>
      <w:r w:rsidRPr="008E5733">
        <w:rPr>
          <w:rFonts w:ascii="Times New Roman" w:eastAsia="Times New Roman" w:hAnsi="Times New Roman" w:cs="Times New Roman"/>
          <w:sz w:val="20"/>
          <w:szCs w:val="20"/>
          <w:lang w:val="en-US"/>
        </w:rPr>
        <w:t xml:space="preserve"> de G. Lane, </w:t>
      </w:r>
      <w:proofErr w:type="spellStart"/>
      <w:r w:rsidRPr="008E5733">
        <w:rPr>
          <w:rFonts w:ascii="Times New Roman" w:eastAsia="Times New Roman" w:hAnsi="Times New Roman" w:cs="Times New Roman"/>
          <w:i/>
          <w:sz w:val="20"/>
          <w:szCs w:val="20"/>
          <w:lang w:val="en-US"/>
        </w:rPr>
        <w:t>Quand</w:t>
      </w:r>
      <w:proofErr w:type="spellEnd"/>
      <w:r w:rsidRPr="008E5733">
        <w:rPr>
          <w:rFonts w:ascii="Times New Roman" w:eastAsia="Times New Roman" w:hAnsi="Times New Roman" w:cs="Times New Roman"/>
          <w:i/>
          <w:sz w:val="20"/>
          <w:szCs w:val="20"/>
          <w:lang w:val="en-US"/>
        </w:rPr>
        <w:t xml:space="preserve"> dire, </w:t>
      </w:r>
      <w:proofErr w:type="spellStart"/>
      <w:r w:rsidRPr="008E5733">
        <w:rPr>
          <w:rFonts w:ascii="Times New Roman" w:eastAsia="Times New Roman" w:hAnsi="Times New Roman" w:cs="Times New Roman"/>
          <w:i/>
          <w:sz w:val="20"/>
          <w:szCs w:val="20"/>
          <w:lang w:val="en-US"/>
        </w:rPr>
        <w:t>c'est</w:t>
      </w:r>
      <w:proofErr w:type="spellEnd"/>
      <w:r w:rsidRPr="008E5733">
        <w:rPr>
          <w:rFonts w:ascii="Times New Roman" w:eastAsia="Times New Roman" w:hAnsi="Times New Roman" w:cs="Times New Roman"/>
          <w:i/>
          <w:sz w:val="20"/>
          <w:szCs w:val="20"/>
          <w:lang w:val="en-US"/>
        </w:rPr>
        <w:t xml:space="preserve"> faire</w:t>
      </w:r>
      <w:r w:rsidRPr="008E5733">
        <w:rPr>
          <w:rFonts w:ascii="Times New Roman" w:eastAsia="Times New Roman" w:hAnsi="Times New Roman" w:cs="Times New Roman"/>
          <w:sz w:val="20"/>
          <w:szCs w:val="20"/>
          <w:lang w:val="en-US"/>
        </w:rPr>
        <w:t xml:space="preserve">, Paris, </w:t>
      </w:r>
      <w:proofErr w:type="spellStart"/>
      <w:r w:rsidRPr="008E5733">
        <w:rPr>
          <w:rFonts w:ascii="Times New Roman" w:eastAsia="Times New Roman" w:hAnsi="Times New Roman" w:cs="Times New Roman"/>
          <w:sz w:val="20"/>
          <w:szCs w:val="20"/>
          <w:lang w:val="en-US"/>
        </w:rPr>
        <w:t>Seuil</w:t>
      </w:r>
      <w:proofErr w:type="spellEnd"/>
      <w:r w:rsidRPr="008E5733">
        <w:rPr>
          <w:rFonts w:ascii="Times New Roman" w:eastAsia="Times New Roman" w:hAnsi="Times New Roman" w:cs="Times New Roman"/>
          <w:sz w:val="20"/>
          <w:szCs w:val="20"/>
          <w:lang w:val="en-US"/>
        </w:rPr>
        <w:t>, 1970.</w:t>
      </w:r>
    </w:p>
  </w:footnote>
  <w:footnote w:id="2">
    <w:p w14:paraId="0000003E"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Bourdieu Pierre, </w:t>
      </w:r>
      <w:r>
        <w:rPr>
          <w:rFonts w:ascii="Times New Roman" w:eastAsia="Times New Roman" w:hAnsi="Times New Roman" w:cs="Times New Roman"/>
          <w:i/>
          <w:sz w:val="20"/>
          <w:szCs w:val="20"/>
        </w:rPr>
        <w:t>Ce que parler veut dire</w:t>
      </w:r>
      <w:r>
        <w:rPr>
          <w:rFonts w:ascii="Times New Roman" w:eastAsia="Times New Roman" w:hAnsi="Times New Roman" w:cs="Times New Roman"/>
          <w:sz w:val="20"/>
          <w:szCs w:val="20"/>
        </w:rPr>
        <w:t>, Paris, Fayard, 1982.</w:t>
      </w:r>
    </w:p>
  </w:footnote>
  <w:footnote w:id="3">
    <w:p w14:paraId="00000041"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i/>
          <w:sz w:val="20"/>
          <w:szCs w:val="20"/>
        </w:rPr>
        <w:t>Ibid</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p.41.</w:t>
      </w:r>
    </w:p>
  </w:footnote>
  <w:footnote w:id="4">
    <w:p w14:paraId="00000042"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Bourdieu Pierre, </w:t>
      </w:r>
      <w:r>
        <w:rPr>
          <w:rFonts w:ascii="Times New Roman" w:eastAsia="Times New Roman" w:hAnsi="Times New Roman" w:cs="Times New Roman"/>
          <w:i/>
          <w:sz w:val="20"/>
          <w:szCs w:val="20"/>
        </w:rPr>
        <w:t xml:space="preserve">Langage et pouvoir symbolique </w:t>
      </w:r>
      <w:r>
        <w:rPr>
          <w:rFonts w:ascii="Times New Roman" w:eastAsia="Times New Roman" w:hAnsi="Times New Roman" w:cs="Times New Roman"/>
          <w:sz w:val="20"/>
          <w:szCs w:val="20"/>
        </w:rPr>
        <w:t>(1982), Paris, Seuil, 2001.</w:t>
      </w:r>
    </w:p>
  </w:footnote>
  <w:footnote w:id="5">
    <w:p w14:paraId="00000040"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Bourdieu Pierre, </w:t>
      </w:r>
      <w:r>
        <w:rPr>
          <w:rFonts w:ascii="Times New Roman" w:eastAsia="Times New Roman" w:hAnsi="Times New Roman" w:cs="Times New Roman"/>
          <w:i/>
          <w:sz w:val="20"/>
          <w:szCs w:val="20"/>
        </w:rPr>
        <w:t>Sur l’État. Cours au Collège de France 1989-1992</w:t>
      </w:r>
      <w:r>
        <w:rPr>
          <w:rFonts w:ascii="Times New Roman" w:eastAsia="Times New Roman" w:hAnsi="Times New Roman" w:cs="Times New Roman"/>
          <w:sz w:val="20"/>
          <w:szCs w:val="20"/>
        </w:rPr>
        <w:t>, Paris, Seuil, 2012.</w:t>
      </w:r>
    </w:p>
  </w:footnote>
  <w:footnote w:id="6">
    <w:p w14:paraId="00000049"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Bourdieu Pierre, Boltanski Luc, « La production de l'idéologie dominante », </w:t>
      </w:r>
      <w:r>
        <w:rPr>
          <w:rFonts w:ascii="Times New Roman" w:eastAsia="Times New Roman" w:hAnsi="Times New Roman" w:cs="Times New Roman"/>
          <w:i/>
          <w:sz w:val="20"/>
          <w:szCs w:val="20"/>
          <w:highlight w:val="white"/>
        </w:rPr>
        <w:t>Actes de la recherche en sciences sociales</w:t>
      </w:r>
      <w:r>
        <w:rPr>
          <w:rFonts w:ascii="Times New Roman" w:eastAsia="Times New Roman" w:hAnsi="Times New Roman" w:cs="Times New Roman"/>
          <w:sz w:val="20"/>
          <w:szCs w:val="20"/>
          <w:highlight w:val="white"/>
        </w:rPr>
        <w:t xml:space="preserve">, vol. 2, n°2-3, juin 1976, pp. 3-73. </w:t>
      </w:r>
    </w:p>
  </w:footnote>
  <w:footnote w:id="7">
    <w:p w14:paraId="0000004B" w14:textId="77777777" w:rsidR="00D818B6" w:rsidRDefault="00305FF0">
      <w:pPr>
        <w:spacing w:line="240" w:lineRule="auto"/>
        <w:jc w:val="both"/>
        <w:rPr>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rPr>
        <w:t>L’expertise - économique, politique, sociologique, statistique, etc. - sert alors à caractériser ce mouvement vers une sorte de « destinée manifeste », inévitable et « naturelle », laquelle venant justifier, dans un second temps, tout un ensemble de « réformes » qui prennent alors l’apparence du « nécessaire ».</w:t>
      </w:r>
    </w:p>
  </w:footnote>
  <w:footnote w:id="8">
    <w:p w14:paraId="0000004A"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Keyhani</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Narguesse</w:t>
      </w:r>
      <w:proofErr w:type="spellEnd"/>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Laurens Sylvain (</w:t>
      </w:r>
      <w:proofErr w:type="spellStart"/>
      <w:r>
        <w:rPr>
          <w:rFonts w:ascii="Times New Roman" w:eastAsia="Times New Roman" w:hAnsi="Times New Roman" w:cs="Times New Roman"/>
          <w:sz w:val="20"/>
          <w:szCs w:val="20"/>
        </w:rPr>
        <w:t>dir</w:t>
      </w:r>
      <w:proofErr w:type="spellEnd"/>
      <w:r>
        <w:rPr>
          <w:rFonts w:ascii="Times New Roman" w:eastAsia="Times New Roman" w:hAnsi="Times New Roman" w:cs="Times New Roman"/>
          <w:sz w:val="20"/>
          <w:szCs w:val="20"/>
        </w:rPr>
        <w:t xml:space="preserve">.), La production officielle des différences culturelles, </w:t>
      </w:r>
      <w:r>
        <w:rPr>
          <w:rFonts w:ascii="Times New Roman" w:eastAsia="Times New Roman" w:hAnsi="Times New Roman" w:cs="Times New Roman"/>
          <w:i/>
          <w:sz w:val="20"/>
          <w:szCs w:val="20"/>
        </w:rPr>
        <w:t>Cultures &amp; Conflits</w:t>
      </w:r>
      <w:r>
        <w:rPr>
          <w:rFonts w:ascii="Times New Roman" w:eastAsia="Times New Roman" w:hAnsi="Times New Roman" w:cs="Times New Roman"/>
          <w:sz w:val="20"/>
          <w:szCs w:val="20"/>
        </w:rPr>
        <w:t xml:space="preserve">, 2017/3, n° 107, 176 pages ; dont l’introduction : </w:t>
      </w:r>
      <w:proofErr w:type="spellStart"/>
      <w:r>
        <w:rPr>
          <w:rFonts w:ascii="Times New Roman" w:eastAsia="Times New Roman" w:hAnsi="Times New Roman" w:cs="Times New Roman"/>
          <w:sz w:val="20"/>
          <w:szCs w:val="20"/>
          <w:highlight w:val="white"/>
        </w:rPr>
        <w:t>Keyhani</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Narguesse</w:t>
      </w:r>
      <w:proofErr w:type="spellEnd"/>
      <w:r>
        <w:rPr>
          <w:rFonts w:ascii="Times New Roman" w:eastAsia="Times New Roman" w:hAnsi="Times New Roman" w:cs="Times New Roman"/>
          <w:sz w:val="20"/>
          <w:szCs w:val="20"/>
          <w:highlight w:val="white"/>
        </w:rPr>
        <w:t xml:space="preserve"> et Laurens Sylvain, « La production officielle des différences culturelles », </w:t>
      </w:r>
      <w:r>
        <w:rPr>
          <w:rFonts w:ascii="Times New Roman" w:eastAsia="Times New Roman" w:hAnsi="Times New Roman" w:cs="Times New Roman"/>
          <w:i/>
          <w:sz w:val="20"/>
          <w:szCs w:val="20"/>
          <w:highlight w:val="white"/>
        </w:rPr>
        <w:t>Cultures &amp; Conflits</w:t>
      </w:r>
      <w:r>
        <w:rPr>
          <w:rFonts w:ascii="Times New Roman" w:eastAsia="Times New Roman" w:hAnsi="Times New Roman" w:cs="Times New Roman"/>
          <w:sz w:val="20"/>
          <w:szCs w:val="20"/>
          <w:highlight w:val="white"/>
        </w:rPr>
        <w:t>, 2017/3, n° 107, pp. 9-13.</w:t>
      </w:r>
    </w:p>
  </w:footnote>
  <w:footnote w:id="9">
    <w:p w14:paraId="00000055"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La bureaucratisation néolibérale n’est pas comprise comme une structure, ou appareil de l’Etat, mais comme</w:t>
      </w:r>
      <w:r>
        <w:rPr>
          <w:rFonts w:ascii="Times New Roman" w:eastAsia="Times New Roman" w:hAnsi="Times New Roman" w:cs="Times New Roman"/>
          <w:i/>
          <w:sz w:val="20"/>
          <w:szCs w:val="20"/>
        </w:rPr>
        <w:t xml:space="preserve"> “un mode de fonctionnement par formalisation systématique, à travers l’usage de normes, de règles, de procédures, de codes</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Hibou Béatrice éd., </w:t>
      </w:r>
      <w:r>
        <w:rPr>
          <w:rFonts w:ascii="Times New Roman" w:eastAsia="Times New Roman" w:hAnsi="Times New Roman" w:cs="Times New Roman"/>
          <w:i/>
          <w:sz w:val="20"/>
          <w:szCs w:val="20"/>
          <w:highlight w:val="white"/>
        </w:rPr>
        <w:t xml:space="preserve">La bureaucratisation néolibérale. </w:t>
      </w:r>
      <w:r>
        <w:rPr>
          <w:rFonts w:ascii="Times New Roman" w:eastAsia="Times New Roman" w:hAnsi="Times New Roman" w:cs="Times New Roman"/>
          <w:sz w:val="20"/>
          <w:szCs w:val="20"/>
          <w:highlight w:val="white"/>
        </w:rPr>
        <w:t>La Découverte, 2013, p.9</w:t>
      </w:r>
    </w:p>
  </w:footnote>
  <w:footnote w:id="10">
    <w:p w14:paraId="0000004C"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323232"/>
          <w:sz w:val="20"/>
          <w:szCs w:val="20"/>
        </w:rPr>
        <w:t xml:space="preserve">Thévenot </w:t>
      </w:r>
      <w:proofErr w:type="gramStart"/>
      <w:r>
        <w:rPr>
          <w:rFonts w:ascii="Times New Roman" w:eastAsia="Times New Roman" w:hAnsi="Times New Roman" w:cs="Times New Roman"/>
          <w:sz w:val="20"/>
          <w:szCs w:val="20"/>
        </w:rPr>
        <w:t xml:space="preserve">Laurent </w:t>
      </w:r>
      <w:r>
        <w:rPr>
          <w:rFonts w:ascii="Times New Roman" w:eastAsia="Times New Roman" w:hAnsi="Times New Roman" w:cs="Times New Roman"/>
          <w:color w:val="323232"/>
          <w:sz w:val="20"/>
          <w:szCs w:val="20"/>
        </w:rPr>
        <w:t>,</w:t>
      </w:r>
      <w:proofErr w:type="gramEnd"/>
      <w:r>
        <w:rPr>
          <w:rFonts w:ascii="Times New Roman" w:eastAsia="Times New Roman" w:hAnsi="Times New Roman" w:cs="Times New Roman"/>
          <w:color w:val="323232"/>
          <w:sz w:val="20"/>
          <w:szCs w:val="20"/>
        </w:rPr>
        <w:t xml:space="preserve"> « Jugement ordinaire et jugement de droit », </w:t>
      </w:r>
      <w:r>
        <w:rPr>
          <w:rFonts w:ascii="Times New Roman" w:eastAsia="Times New Roman" w:hAnsi="Times New Roman" w:cs="Times New Roman"/>
          <w:i/>
          <w:color w:val="323232"/>
          <w:sz w:val="20"/>
          <w:szCs w:val="20"/>
        </w:rPr>
        <w:t>Annales ESC</w:t>
      </w:r>
      <w:r>
        <w:rPr>
          <w:rFonts w:ascii="Times New Roman" w:eastAsia="Times New Roman" w:hAnsi="Times New Roman" w:cs="Times New Roman"/>
          <w:color w:val="323232"/>
          <w:sz w:val="20"/>
          <w:szCs w:val="20"/>
        </w:rPr>
        <w:t>, n° 6, 1992, pp. 1279-1299.</w:t>
      </w:r>
    </w:p>
  </w:footnote>
  <w:footnote w:id="11">
    <w:p w14:paraId="00000062"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Hibou Béatrice (</w:t>
      </w:r>
      <w:proofErr w:type="spellStart"/>
      <w:r>
        <w:rPr>
          <w:rFonts w:ascii="Times New Roman" w:eastAsia="Times New Roman" w:hAnsi="Times New Roman" w:cs="Times New Roman"/>
          <w:sz w:val="20"/>
          <w:szCs w:val="20"/>
          <w:highlight w:val="white"/>
        </w:rPr>
        <w:t>dir</w:t>
      </w:r>
      <w:proofErr w:type="spellEnd"/>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i/>
          <w:sz w:val="20"/>
          <w:szCs w:val="20"/>
          <w:highlight w:val="white"/>
        </w:rPr>
        <w:t xml:space="preserve">La bureaucratisation néolibérale. </w:t>
      </w:r>
      <w:r>
        <w:rPr>
          <w:rFonts w:ascii="Times New Roman" w:eastAsia="Times New Roman" w:hAnsi="Times New Roman" w:cs="Times New Roman"/>
          <w:sz w:val="20"/>
          <w:szCs w:val="20"/>
          <w:highlight w:val="white"/>
        </w:rPr>
        <w:t xml:space="preserve">La Découverte, 2013, 326 pages. </w:t>
      </w:r>
    </w:p>
  </w:footnote>
  <w:footnote w:id="12">
    <w:p w14:paraId="00000060"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Eydoux</w:t>
      </w:r>
      <w:proofErr w:type="spellEnd"/>
      <w:r>
        <w:rPr>
          <w:rFonts w:ascii="Times New Roman" w:eastAsia="Times New Roman" w:hAnsi="Times New Roman" w:cs="Times New Roman"/>
          <w:sz w:val="20"/>
          <w:szCs w:val="20"/>
        </w:rPr>
        <w:t xml:space="preserve">, Anne, Jules </w:t>
      </w:r>
      <w:proofErr w:type="spellStart"/>
      <w:r>
        <w:rPr>
          <w:rFonts w:ascii="Times New Roman" w:eastAsia="Times New Roman" w:hAnsi="Times New Roman" w:cs="Times New Roman"/>
          <w:sz w:val="20"/>
          <w:szCs w:val="20"/>
        </w:rPr>
        <w:t>Simha</w:t>
      </w:r>
      <w:proofErr w:type="spellEnd"/>
      <w:r>
        <w:rPr>
          <w:rFonts w:ascii="Times New Roman" w:eastAsia="Times New Roman" w:hAnsi="Times New Roman" w:cs="Times New Roman"/>
          <w:sz w:val="20"/>
          <w:szCs w:val="20"/>
        </w:rPr>
        <w:t xml:space="preserve">, et Claire Vivés. « L’accompagnement global des demandeurs d’emploi : entre renouvellement du service public de l’emploi et normalisation des politiques locales d’insertion », Revue </w:t>
      </w:r>
      <w:proofErr w:type="gramStart"/>
      <w:r>
        <w:rPr>
          <w:rFonts w:ascii="Times New Roman" w:eastAsia="Times New Roman" w:hAnsi="Times New Roman" w:cs="Times New Roman"/>
          <w:sz w:val="20"/>
          <w:szCs w:val="20"/>
        </w:rPr>
        <w:t>française  des</w:t>
      </w:r>
      <w:proofErr w:type="gramEnd"/>
      <w:r>
        <w:rPr>
          <w:rFonts w:ascii="Times New Roman" w:eastAsia="Times New Roman" w:hAnsi="Times New Roman" w:cs="Times New Roman"/>
          <w:sz w:val="20"/>
          <w:szCs w:val="20"/>
        </w:rPr>
        <w:t xml:space="preserve"> affaires sociales, vol. hors-série 1, no. HS, 2019, pp. 105-128.</w:t>
      </w:r>
    </w:p>
  </w:footnote>
  <w:footnote w:id="13">
    <w:p w14:paraId="00000052" w14:textId="77777777" w:rsidR="00D818B6" w:rsidRDefault="00305FF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Ibid</w:t>
      </w:r>
      <w:proofErr w:type="spellEnd"/>
      <w:r>
        <w:rPr>
          <w:rFonts w:ascii="Times New Roman" w:eastAsia="Times New Roman" w:hAnsi="Times New Roman" w:cs="Times New Roman"/>
          <w:sz w:val="20"/>
          <w:szCs w:val="20"/>
        </w:rPr>
        <w:t>, p.17</w:t>
      </w:r>
    </w:p>
  </w:footnote>
  <w:footnote w:id="14">
    <w:p w14:paraId="00000053" w14:textId="77777777" w:rsidR="00D818B6" w:rsidRDefault="00305FF0">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rPr>
        <w:t>Giacinti</w:t>
      </w:r>
      <w:proofErr w:type="spellEnd"/>
      <w:r>
        <w:rPr>
          <w:rFonts w:ascii="Times New Roman" w:eastAsia="Times New Roman" w:hAnsi="Times New Roman" w:cs="Times New Roman"/>
          <w:sz w:val="20"/>
          <w:szCs w:val="20"/>
        </w:rPr>
        <w:t xml:space="preserve">, Margot. « « Nous sommes le cri de celles qui n’en ont plus » : historiciser et penser le féminicide », </w:t>
      </w:r>
      <w:r>
        <w:rPr>
          <w:rFonts w:ascii="Times New Roman" w:eastAsia="Times New Roman" w:hAnsi="Times New Roman" w:cs="Times New Roman"/>
          <w:i/>
          <w:sz w:val="20"/>
          <w:szCs w:val="20"/>
        </w:rPr>
        <w:t>Nouvelles Questions Féministes</w:t>
      </w:r>
      <w:r>
        <w:rPr>
          <w:rFonts w:ascii="Times New Roman" w:eastAsia="Times New Roman" w:hAnsi="Times New Roman" w:cs="Times New Roman"/>
          <w:sz w:val="20"/>
          <w:szCs w:val="20"/>
        </w:rPr>
        <w:t>, vol. 39, no. 1, 2020, pp. 50-65</w:t>
      </w:r>
    </w:p>
  </w:footnote>
  <w:footnote w:id="15">
    <w:p w14:paraId="0000004D" w14:textId="77777777" w:rsidR="00D818B6" w:rsidRDefault="00305FF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Cahuzac, Yannick, et Stéphane François, 2013. “Les stratégies de communication de la mouvance identitaire.” </w:t>
      </w:r>
      <w:r>
        <w:rPr>
          <w:rFonts w:ascii="Times New Roman" w:eastAsia="Times New Roman" w:hAnsi="Times New Roman" w:cs="Times New Roman"/>
          <w:i/>
          <w:sz w:val="20"/>
          <w:szCs w:val="20"/>
        </w:rPr>
        <w:t>Questions de communication,</w:t>
      </w:r>
      <w:r>
        <w:rPr>
          <w:rFonts w:ascii="Times New Roman" w:eastAsia="Times New Roman" w:hAnsi="Times New Roman" w:cs="Times New Roman"/>
          <w:sz w:val="20"/>
          <w:szCs w:val="20"/>
        </w:rPr>
        <w:t xml:space="preserve"> n° 23 (1</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275–92</w:t>
      </w:r>
    </w:p>
  </w:footnote>
  <w:footnote w:id="16">
    <w:p w14:paraId="00000061"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Tristan Mendès France, audition à la </w:t>
      </w:r>
      <w:r>
        <w:rPr>
          <w:rFonts w:ascii="Times New Roman" w:eastAsia="Times New Roman" w:hAnsi="Times New Roman" w:cs="Times New Roman"/>
          <w:i/>
          <w:sz w:val="20"/>
          <w:szCs w:val="20"/>
        </w:rPr>
        <w:t>Commission d’enquête parlementaire sur la lutte contre les groupuscules d’extrême-droite</w:t>
      </w:r>
      <w:r>
        <w:rPr>
          <w:rFonts w:ascii="Times New Roman" w:eastAsia="Times New Roman" w:hAnsi="Times New Roman" w:cs="Times New Roman"/>
          <w:sz w:val="20"/>
          <w:szCs w:val="20"/>
        </w:rPr>
        <w:t>, 6 juin 2019</w:t>
      </w:r>
    </w:p>
  </w:footnote>
  <w:footnote w:id="17">
    <w:p w14:paraId="00000043" w14:textId="77777777" w:rsidR="00D818B6" w:rsidRDefault="00305FF0">
      <w:pPr>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20"/>
          <w:szCs w:val="20"/>
        </w:rPr>
        <w:t>Him-Aquilli</w:t>
      </w:r>
      <w:proofErr w:type="spellEnd"/>
      <w:r>
        <w:rPr>
          <w:rFonts w:ascii="Times New Roman" w:eastAsia="Times New Roman" w:hAnsi="Times New Roman" w:cs="Times New Roman"/>
          <w:sz w:val="20"/>
          <w:szCs w:val="20"/>
        </w:rPr>
        <w:t xml:space="preserve"> Manon, « « Alors que nous on s’acharne à dire que c’est un système » : enjeux militants de la construction d’un locuteur collectif en AG anarchiste », </w:t>
      </w:r>
      <w:r>
        <w:rPr>
          <w:rFonts w:ascii="Times New Roman" w:eastAsia="Times New Roman" w:hAnsi="Times New Roman" w:cs="Times New Roman"/>
          <w:i/>
          <w:sz w:val="20"/>
          <w:szCs w:val="20"/>
        </w:rPr>
        <w:t>Mots. Les langages du politique</w:t>
      </w:r>
      <w:r>
        <w:rPr>
          <w:rFonts w:ascii="Times New Roman" w:eastAsia="Times New Roman" w:hAnsi="Times New Roman" w:cs="Times New Roman"/>
          <w:sz w:val="20"/>
          <w:szCs w:val="20"/>
        </w:rPr>
        <w:t>, 2020/1 (n° 122), p. 93-110.</w:t>
      </w:r>
      <w:r>
        <w:rPr>
          <w:rFonts w:ascii="Times New Roman" w:eastAsia="Times New Roman" w:hAnsi="Times New Roman" w:cs="Times New Roman"/>
          <w:sz w:val="18"/>
          <w:szCs w:val="18"/>
        </w:rPr>
        <w:t xml:space="preserve"> </w:t>
      </w:r>
    </w:p>
  </w:footnote>
  <w:footnote w:id="18">
    <w:p w14:paraId="00000044" w14:textId="77777777" w:rsidR="00D818B6" w:rsidRDefault="00305FF0">
      <w:pPr>
        <w:jc w:val="both"/>
        <w:rPr>
          <w:sz w:val="20"/>
          <w:szCs w:val="20"/>
        </w:rPr>
      </w:pPr>
      <w:r>
        <w:rPr>
          <w:vertAlign w:val="superscript"/>
        </w:rPr>
        <w:footnoteRef/>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20"/>
          <w:szCs w:val="20"/>
        </w:rPr>
        <w:t>Sinigaglia</w:t>
      </w:r>
      <w:proofErr w:type="spellEnd"/>
      <w:r>
        <w:rPr>
          <w:rFonts w:ascii="Times New Roman" w:eastAsia="Times New Roman" w:hAnsi="Times New Roman" w:cs="Times New Roman"/>
          <w:sz w:val="20"/>
          <w:szCs w:val="20"/>
        </w:rPr>
        <w:t xml:space="preserve"> Jérémy, « Les usages du qualificatif droitier au Nouveau Parti anticapitaliste. Orthodoxie et pluralisme </w:t>
      </w:r>
      <w:proofErr w:type="spellStart"/>
      <w:r>
        <w:rPr>
          <w:rFonts w:ascii="Times New Roman" w:eastAsia="Times New Roman" w:hAnsi="Times New Roman" w:cs="Times New Roman"/>
          <w:sz w:val="20"/>
          <w:szCs w:val="20"/>
        </w:rPr>
        <w:t>intrapartisan</w:t>
      </w:r>
      <w:proofErr w:type="spellEnd"/>
      <w:r>
        <w:rPr>
          <w:rFonts w:ascii="Times New Roman" w:eastAsia="Times New Roman" w:hAnsi="Times New Roman" w:cs="Times New Roman"/>
          <w:sz w:val="20"/>
          <w:szCs w:val="20"/>
        </w:rPr>
        <w:t xml:space="preserve"> à l’extrême gauche », </w:t>
      </w:r>
      <w:r>
        <w:rPr>
          <w:rFonts w:ascii="Times New Roman" w:eastAsia="Times New Roman" w:hAnsi="Times New Roman" w:cs="Times New Roman"/>
          <w:i/>
          <w:sz w:val="20"/>
          <w:szCs w:val="20"/>
        </w:rPr>
        <w:t>Mots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Les langages du politique, </w:t>
      </w:r>
      <w:r>
        <w:rPr>
          <w:rFonts w:ascii="Times New Roman" w:eastAsia="Times New Roman" w:hAnsi="Times New Roman" w:cs="Times New Roman"/>
          <w:sz w:val="20"/>
          <w:szCs w:val="20"/>
        </w:rPr>
        <w:t>2016/2 (n°111), p. 103-120.</w:t>
      </w:r>
    </w:p>
  </w:footnote>
  <w:footnote w:id="19">
    <w:p w14:paraId="00000045" w14:textId="77777777" w:rsidR="00D818B6" w:rsidRDefault="00305FF0">
      <w:pPr>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20"/>
          <w:szCs w:val="20"/>
        </w:rPr>
        <w:t>Devriendt</w:t>
      </w:r>
      <w:proofErr w:type="spellEnd"/>
      <w:r>
        <w:rPr>
          <w:rFonts w:ascii="Times New Roman" w:eastAsia="Times New Roman" w:hAnsi="Times New Roman" w:cs="Times New Roman"/>
          <w:sz w:val="20"/>
          <w:szCs w:val="20"/>
        </w:rPr>
        <w:t xml:space="preserve"> Émilie, Monte Michèle et </w:t>
      </w:r>
      <w:proofErr w:type="spellStart"/>
      <w:r>
        <w:rPr>
          <w:rFonts w:ascii="Times New Roman" w:eastAsia="Times New Roman" w:hAnsi="Times New Roman" w:cs="Times New Roman"/>
          <w:sz w:val="20"/>
          <w:szCs w:val="20"/>
        </w:rPr>
        <w:t>Sandré</w:t>
      </w:r>
      <w:proofErr w:type="spellEnd"/>
      <w:r>
        <w:rPr>
          <w:rFonts w:ascii="Times New Roman" w:eastAsia="Times New Roman" w:hAnsi="Times New Roman" w:cs="Times New Roman"/>
          <w:sz w:val="20"/>
          <w:szCs w:val="20"/>
        </w:rPr>
        <w:t xml:space="preserve"> Marion, « Analyse du discours et catégories « raciales » : problèmes, enjeux, perspectives », </w:t>
      </w:r>
      <w:r>
        <w:rPr>
          <w:rFonts w:ascii="Times New Roman" w:eastAsia="Times New Roman" w:hAnsi="Times New Roman" w:cs="Times New Roman"/>
          <w:i/>
          <w:sz w:val="20"/>
          <w:szCs w:val="20"/>
        </w:rPr>
        <w:t>Mots. Les langages du politique</w:t>
      </w:r>
      <w:r>
        <w:rPr>
          <w:rFonts w:ascii="Times New Roman" w:eastAsia="Times New Roman" w:hAnsi="Times New Roman" w:cs="Times New Roman"/>
          <w:sz w:val="20"/>
          <w:szCs w:val="20"/>
        </w:rPr>
        <w:t>, 116 | 2018</w:t>
      </w:r>
    </w:p>
  </w:footnote>
  <w:footnote w:id="20">
    <w:p w14:paraId="00000046"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Fassin</w:t>
      </w:r>
      <w:proofErr w:type="spellEnd"/>
      <w:r>
        <w:rPr>
          <w:rFonts w:ascii="Times New Roman" w:eastAsia="Times New Roman" w:hAnsi="Times New Roman" w:cs="Times New Roman"/>
          <w:sz w:val="20"/>
          <w:szCs w:val="20"/>
        </w:rPr>
        <w:t xml:space="preserve"> Didier, </w:t>
      </w:r>
      <w:r>
        <w:rPr>
          <w:rFonts w:ascii="Times New Roman" w:eastAsia="Times New Roman" w:hAnsi="Times New Roman" w:cs="Times New Roman"/>
          <w:i/>
          <w:sz w:val="20"/>
          <w:szCs w:val="20"/>
        </w:rPr>
        <w:t>Les nouvelles frontières de la société française</w:t>
      </w:r>
      <w:r>
        <w:rPr>
          <w:rFonts w:ascii="Times New Roman" w:eastAsia="Times New Roman" w:hAnsi="Times New Roman" w:cs="Times New Roman"/>
          <w:sz w:val="20"/>
          <w:szCs w:val="20"/>
        </w:rPr>
        <w:t>, Paris, La Découverte, 2010., p.152. Cité dans</w:t>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sz w:val="20"/>
          <w:szCs w:val="20"/>
        </w:rPr>
        <w:t>Devriendt</w:t>
      </w:r>
      <w:proofErr w:type="spellEnd"/>
      <w:r>
        <w:rPr>
          <w:rFonts w:ascii="Times New Roman" w:eastAsia="Times New Roman" w:hAnsi="Times New Roman" w:cs="Times New Roman"/>
          <w:sz w:val="20"/>
          <w:szCs w:val="20"/>
        </w:rPr>
        <w:t xml:space="preserve"> (E.) </w:t>
      </w:r>
      <w:r>
        <w:rPr>
          <w:rFonts w:ascii="Times New Roman" w:eastAsia="Times New Roman" w:hAnsi="Times New Roman" w:cs="Times New Roman"/>
          <w:i/>
          <w:sz w:val="20"/>
          <w:szCs w:val="20"/>
        </w:rPr>
        <w:t xml:space="preserve">et al., </w:t>
      </w:r>
      <w:r>
        <w:rPr>
          <w:rFonts w:ascii="Times New Roman" w:eastAsia="Times New Roman" w:hAnsi="Times New Roman" w:cs="Times New Roman"/>
          <w:sz w:val="20"/>
          <w:szCs w:val="20"/>
        </w:rPr>
        <w:t xml:space="preserve">« Analyse du discours et catégories raciales » : problèmes, enjeux, perspectives », </w:t>
      </w:r>
      <w:r>
        <w:rPr>
          <w:rFonts w:ascii="Times New Roman" w:eastAsia="Times New Roman" w:hAnsi="Times New Roman" w:cs="Times New Roman"/>
          <w:i/>
          <w:sz w:val="20"/>
          <w:szCs w:val="20"/>
        </w:rPr>
        <w:t xml:space="preserve">art. </w:t>
      </w:r>
      <w:proofErr w:type="spellStart"/>
      <w:r>
        <w:rPr>
          <w:rFonts w:ascii="Times New Roman" w:eastAsia="Times New Roman" w:hAnsi="Times New Roman" w:cs="Times New Roman"/>
          <w:i/>
          <w:sz w:val="20"/>
          <w:szCs w:val="20"/>
        </w:rPr>
        <w:t>cit</w:t>
      </w:r>
      <w:proofErr w:type="spellEnd"/>
      <w:r>
        <w:rPr>
          <w:rFonts w:ascii="Times New Roman" w:eastAsia="Times New Roman" w:hAnsi="Times New Roman" w:cs="Times New Roman"/>
          <w:i/>
          <w:sz w:val="20"/>
          <w:szCs w:val="20"/>
        </w:rPr>
        <w:t xml:space="preserve">. </w:t>
      </w:r>
    </w:p>
  </w:footnote>
  <w:footnote w:id="21">
    <w:p w14:paraId="00000047" w14:textId="77777777" w:rsidR="00D818B6" w:rsidRDefault="00305FF0">
      <w:pPr>
        <w:spacing w:line="240" w:lineRule="auto"/>
        <w:rPr>
          <w:rFonts w:ascii="Times New Roman" w:eastAsia="Times New Roman" w:hAnsi="Times New Roman" w:cs="Times New Roman"/>
          <w:i/>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Ibid. </w:t>
      </w:r>
    </w:p>
  </w:footnote>
  <w:footnote w:id="22">
    <w:p w14:paraId="0000005F" w14:textId="77777777" w:rsidR="00D818B6" w:rsidRDefault="00305FF0">
      <w:pPr>
        <w:spacing w:line="240" w:lineRule="auto"/>
        <w:rPr>
          <w:i/>
          <w:sz w:val="20"/>
          <w:szCs w:val="20"/>
        </w:rPr>
      </w:pPr>
      <w:r>
        <w:rPr>
          <w:vertAlign w:val="superscript"/>
        </w:rPr>
        <w:footnoteRef/>
      </w:r>
      <w:r>
        <w:rPr>
          <w:sz w:val="20"/>
          <w:szCs w:val="20"/>
        </w:rPr>
        <w:t xml:space="preserve"> </w:t>
      </w:r>
      <w:r>
        <w:rPr>
          <w:rFonts w:ascii="Times New Roman" w:eastAsia="Times New Roman" w:hAnsi="Times New Roman" w:cs="Times New Roman"/>
          <w:i/>
          <w:sz w:val="20"/>
          <w:szCs w:val="20"/>
        </w:rPr>
        <w:t xml:space="preserve">Ibid. </w:t>
      </w:r>
    </w:p>
  </w:footnote>
  <w:footnote w:id="23">
    <w:p w14:paraId="00000048" w14:textId="77777777" w:rsidR="00D818B6" w:rsidRDefault="00305FF0">
      <w:pPr>
        <w:spacing w:line="240" w:lineRule="auto"/>
        <w:rPr>
          <w:rFonts w:ascii="Times New Roman" w:eastAsia="Times New Roman" w:hAnsi="Times New Roman" w:cs="Times New Roman"/>
          <w:i/>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Ibid. </w:t>
      </w:r>
    </w:p>
  </w:footnote>
  <w:footnote w:id="24">
    <w:p w14:paraId="00000054"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Voir la critique des constructions de questionnaire par Pierre Bourdieu dans l’article </w:t>
      </w:r>
      <w:proofErr w:type="gramStart"/>
      <w:r>
        <w:rPr>
          <w:rFonts w:ascii="Times New Roman" w:eastAsia="Times New Roman" w:hAnsi="Times New Roman" w:cs="Times New Roman"/>
          <w:sz w:val="20"/>
          <w:szCs w:val="20"/>
        </w:rPr>
        <w:t>suivant:</w:t>
      </w:r>
      <w:proofErr w:type="gramEnd"/>
      <w:r>
        <w:rPr>
          <w:rFonts w:ascii="Times New Roman" w:eastAsia="Times New Roman" w:hAnsi="Times New Roman" w:cs="Times New Roman"/>
          <w:sz w:val="20"/>
          <w:szCs w:val="20"/>
        </w:rPr>
        <w:t xml:space="preserve"> Bourdieu, Pierre. « L’opinion publique n’existe pas », </w:t>
      </w:r>
      <w:r>
        <w:rPr>
          <w:rFonts w:ascii="Times New Roman" w:eastAsia="Times New Roman" w:hAnsi="Times New Roman" w:cs="Times New Roman"/>
          <w:i/>
          <w:sz w:val="20"/>
          <w:szCs w:val="20"/>
        </w:rPr>
        <w:t xml:space="preserve">Les temps modernes, </w:t>
      </w:r>
      <w:r>
        <w:rPr>
          <w:rFonts w:ascii="Times New Roman" w:eastAsia="Times New Roman" w:hAnsi="Times New Roman" w:cs="Times New Roman"/>
          <w:sz w:val="20"/>
          <w:szCs w:val="20"/>
        </w:rPr>
        <w:t xml:space="preserve">vol. 318, 1973, pp. 1292-1309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0"/>
          <w:szCs w:val="20"/>
          <w:highlight w:val="white"/>
        </w:rPr>
        <w:t xml:space="preserve"> repris in </w:t>
      </w:r>
      <w:r>
        <w:rPr>
          <w:rFonts w:ascii="Times New Roman" w:eastAsia="Times New Roman" w:hAnsi="Times New Roman" w:cs="Times New Roman"/>
          <w:i/>
          <w:sz w:val="20"/>
          <w:szCs w:val="20"/>
          <w:highlight w:val="white"/>
        </w:rPr>
        <w:t>Questions de sociologie</w:t>
      </w:r>
      <w:r>
        <w:rPr>
          <w:rFonts w:ascii="Times New Roman" w:eastAsia="Times New Roman" w:hAnsi="Times New Roman" w:cs="Times New Roman"/>
          <w:sz w:val="20"/>
          <w:szCs w:val="20"/>
          <w:highlight w:val="white"/>
        </w:rPr>
        <w:t>, Paris, Les Éditions de Minuit, 1984, pp.222-235.</w:t>
      </w:r>
    </w:p>
  </w:footnote>
  <w:footnote w:id="25">
    <w:p w14:paraId="00000056" w14:textId="77777777" w:rsidR="00D818B6" w:rsidRDefault="00305FF0">
      <w:pPr>
        <w:spacing w:line="240" w:lineRule="auto"/>
        <w:jc w:val="both"/>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i/>
          <w:sz w:val="20"/>
          <w:szCs w:val="20"/>
        </w:rPr>
        <w:t>« L’entretien sociologique, loin de se réduire à une simple communication de face à face entre A et B […] est aussi une relation sociale entre deux personnes qui se différencient par leurs caractéristiques sociales, scolaires, sexuelles</w:t>
      </w:r>
      <w:proofErr w:type="gramStart"/>
      <w:r>
        <w:rPr>
          <w:rFonts w:ascii="Times New Roman" w:eastAsia="Times New Roman" w:hAnsi="Times New Roman" w:cs="Times New Roman"/>
          <w:i/>
          <w:sz w:val="20"/>
          <w:szCs w:val="20"/>
        </w:rPr>
        <w:t>.</w:t>
      </w:r>
      <w:r>
        <w:rPr>
          <w:rFonts w:ascii="Times New Roman" w:eastAsia="Times New Roman" w:hAnsi="Times New Roman" w:cs="Times New Roman"/>
          <w:color w:val="232323"/>
          <w:sz w:val="20"/>
          <w:szCs w:val="20"/>
        </w:rPr>
        <w:t>»</w:t>
      </w:r>
      <w:proofErr w:type="gramEnd"/>
      <w:r>
        <w:rPr>
          <w:rFonts w:ascii="Times New Roman" w:eastAsia="Times New Roman" w:hAnsi="Times New Roman" w:cs="Times New Roman"/>
          <w:color w:val="232323"/>
          <w:sz w:val="20"/>
          <w:szCs w:val="20"/>
        </w:rPr>
        <w:t xml:space="preserve"> (p.238)</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in </w:t>
      </w:r>
      <w:r>
        <w:rPr>
          <w:rFonts w:ascii="Times New Roman" w:eastAsia="Times New Roman" w:hAnsi="Times New Roman" w:cs="Times New Roman"/>
          <w:sz w:val="20"/>
          <w:szCs w:val="20"/>
        </w:rPr>
        <w:t>Beaud, Stéphane. « L’usage de l’entretien en sciences sociales. Plaidoyer pour l</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entretien ethnographique » », </w:t>
      </w:r>
      <w:proofErr w:type="spellStart"/>
      <w:r>
        <w:rPr>
          <w:rFonts w:ascii="Times New Roman" w:eastAsia="Times New Roman" w:hAnsi="Times New Roman" w:cs="Times New Roman"/>
          <w:i/>
          <w:sz w:val="20"/>
          <w:szCs w:val="20"/>
        </w:rPr>
        <w:t>Politix</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n°35, 1996, pp.226-257</w:t>
      </w:r>
    </w:p>
  </w:footnote>
  <w:footnote w:id="26">
    <w:p w14:paraId="00000057" w14:textId="77777777" w:rsidR="00D818B6" w:rsidRDefault="00305FF0">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Mauger, Gérard.</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et</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Pouly</w:t>
      </w:r>
      <w:proofErr w:type="spellEnd"/>
      <w:r>
        <w:rPr>
          <w:rFonts w:ascii="Times New Roman" w:eastAsia="Times New Roman" w:hAnsi="Times New Roman" w:cs="Times New Roman"/>
          <w:sz w:val="20"/>
          <w:szCs w:val="20"/>
        </w:rPr>
        <w:t xml:space="preserve">, Marie-Pierre. « Enquêter en milieu populaire. Une étude des échanges symboliques entre classes sociales », </w:t>
      </w:r>
      <w:r>
        <w:rPr>
          <w:rFonts w:ascii="Times New Roman" w:eastAsia="Times New Roman" w:hAnsi="Times New Roman" w:cs="Times New Roman"/>
          <w:i/>
          <w:sz w:val="20"/>
          <w:szCs w:val="20"/>
        </w:rPr>
        <w:t>Sociologie</w:t>
      </w:r>
      <w:r>
        <w:rPr>
          <w:rFonts w:ascii="Times New Roman" w:eastAsia="Times New Roman" w:hAnsi="Times New Roman" w:cs="Times New Roman"/>
          <w:sz w:val="20"/>
          <w:szCs w:val="20"/>
        </w:rPr>
        <w:t xml:space="preserve">, vol. 10, no. 1, 2019, pp. 37-54. En particulier p.43 le classement parmi les parents dominants opéré par Myriam </w:t>
      </w:r>
      <w:proofErr w:type="spellStart"/>
      <w:r>
        <w:rPr>
          <w:rFonts w:ascii="Times New Roman" w:eastAsia="Times New Roman" w:hAnsi="Times New Roman" w:cs="Times New Roman"/>
          <w:sz w:val="20"/>
          <w:szCs w:val="20"/>
        </w:rPr>
        <w:t>Sanatanazefi</w:t>
      </w:r>
      <w:proofErr w:type="spellEnd"/>
      <w:r>
        <w:rPr>
          <w:rFonts w:ascii="Times New Roman" w:eastAsia="Times New Roman" w:hAnsi="Times New Roman" w:cs="Times New Roman"/>
          <w:sz w:val="20"/>
          <w:szCs w:val="20"/>
        </w:rPr>
        <w:t>, femme de ménage, auprès du sociologue, est très instructif : « les parents sympas sont [ceux qui] me parlent normal quoi » (p.43).</w:t>
      </w:r>
    </w:p>
  </w:footnote>
  <w:footnote w:id="27">
    <w:p w14:paraId="00000058"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Darmon, Muriel. « Le psychiatre, la sociologue et la boulangère : analyse d'un refus de terrain », </w:t>
      </w:r>
      <w:r>
        <w:rPr>
          <w:rFonts w:ascii="Times New Roman" w:eastAsia="Times New Roman" w:hAnsi="Times New Roman" w:cs="Times New Roman"/>
          <w:i/>
          <w:sz w:val="20"/>
          <w:szCs w:val="20"/>
          <w:highlight w:val="white"/>
        </w:rPr>
        <w:t>Genèses</w:t>
      </w:r>
      <w:r>
        <w:rPr>
          <w:rFonts w:ascii="Times New Roman" w:eastAsia="Times New Roman" w:hAnsi="Times New Roman" w:cs="Times New Roman"/>
          <w:sz w:val="20"/>
          <w:szCs w:val="20"/>
          <w:highlight w:val="white"/>
        </w:rPr>
        <w:t>, vol. 58, no. 1, 2005, pp. 98-112.</w:t>
      </w:r>
    </w:p>
  </w:footnote>
  <w:footnote w:id="28">
    <w:p w14:paraId="00000059"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Demazière, Didier. </w:t>
      </w:r>
      <w:r>
        <w:rPr>
          <w:rFonts w:ascii="Times New Roman" w:eastAsia="Times New Roman" w:hAnsi="Times New Roman" w:cs="Times New Roman"/>
          <w:i/>
          <w:sz w:val="20"/>
          <w:szCs w:val="20"/>
        </w:rPr>
        <w:t>A qui peut-on se fier ? Les sociologues et la parole des interviewés.</w:t>
      </w:r>
      <w:r>
        <w:rPr>
          <w:rFonts w:ascii="Times New Roman" w:eastAsia="Times New Roman" w:hAnsi="Times New Roman" w:cs="Times New Roman"/>
          <w:sz w:val="20"/>
          <w:szCs w:val="20"/>
        </w:rPr>
        <w:t xml:space="preserve"> Langage et Société, Maison des Sciences de L’homme Paris, 2007, pp.85 - 100. </w:t>
      </w:r>
    </w:p>
  </w:footnote>
  <w:footnote w:id="29">
    <w:p w14:paraId="0000005A"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Schwartz, Olivier. « L’empirisme irréductible », Postface à Niels Anderson, </w:t>
      </w:r>
      <w:r>
        <w:rPr>
          <w:rFonts w:ascii="Times New Roman" w:eastAsia="Times New Roman" w:hAnsi="Times New Roman" w:cs="Times New Roman"/>
          <w:i/>
          <w:sz w:val="20"/>
          <w:szCs w:val="20"/>
        </w:rPr>
        <w:t xml:space="preserve">Le </w:t>
      </w:r>
      <w:proofErr w:type="spellStart"/>
      <w:r>
        <w:rPr>
          <w:rFonts w:ascii="Times New Roman" w:eastAsia="Times New Roman" w:hAnsi="Times New Roman" w:cs="Times New Roman"/>
          <w:i/>
          <w:sz w:val="20"/>
          <w:szCs w:val="20"/>
        </w:rPr>
        <w:t>hobo</w:t>
      </w:r>
      <w:proofErr w:type="spellEnd"/>
      <w:r>
        <w:rPr>
          <w:rFonts w:ascii="Times New Roman" w:eastAsia="Times New Roman" w:hAnsi="Times New Roman" w:cs="Times New Roman"/>
          <w:i/>
          <w:sz w:val="20"/>
          <w:szCs w:val="20"/>
        </w:rPr>
        <w:t xml:space="preserve">, sociologie du sans </w:t>
      </w:r>
      <w:proofErr w:type="gramStart"/>
      <w:r>
        <w:rPr>
          <w:rFonts w:ascii="Times New Roman" w:eastAsia="Times New Roman" w:hAnsi="Times New Roman" w:cs="Times New Roman"/>
          <w:i/>
          <w:sz w:val="20"/>
          <w:szCs w:val="20"/>
        </w:rPr>
        <w:t>abri</w:t>
      </w:r>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Paris, Nathan, 1993 (1923).</w:t>
      </w:r>
    </w:p>
  </w:footnote>
  <w:footnote w:id="30">
    <w:p w14:paraId="0000005E"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Barbot, Janine. « Mener un entretien de face à face », Chapitre 6 dans : Paugam, Serge éd., </w:t>
      </w:r>
      <w:r>
        <w:rPr>
          <w:rFonts w:ascii="Times New Roman" w:eastAsia="Times New Roman" w:hAnsi="Times New Roman" w:cs="Times New Roman"/>
          <w:i/>
          <w:sz w:val="20"/>
          <w:szCs w:val="20"/>
          <w:highlight w:val="white"/>
        </w:rPr>
        <w:t xml:space="preserve">L’enquête sociologique, </w:t>
      </w:r>
      <w:r>
        <w:rPr>
          <w:rFonts w:ascii="Times New Roman" w:eastAsia="Times New Roman" w:hAnsi="Times New Roman" w:cs="Times New Roman"/>
          <w:sz w:val="20"/>
          <w:szCs w:val="20"/>
          <w:highlight w:val="white"/>
        </w:rPr>
        <w:t>Paris, Presses Universitaires de France, « Quadrige », 2012, p. 115-141.</w:t>
      </w:r>
    </w:p>
  </w:footnote>
  <w:footnote w:id="31">
    <w:p w14:paraId="0000005C" w14:textId="77777777" w:rsidR="00D818B6" w:rsidRDefault="00305FF0">
      <w:pPr>
        <w:spacing w:line="240" w:lineRule="auto"/>
        <w:jc w:val="both"/>
        <w:rPr>
          <w:rFonts w:ascii="Times New Roman" w:eastAsia="Times New Roman" w:hAnsi="Times New Roman" w:cs="Times New Roman"/>
          <w:sz w:val="20"/>
          <w:szCs w:val="20"/>
          <w:highlight w:val="white"/>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“Se claquer la </w:t>
      </w:r>
      <w:proofErr w:type="spellStart"/>
      <w:r>
        <w:rPr>
          <w:rFonts w:ascii="Times New Roman" w:eastAsia="Times New Roman" w:hAnsi="Times New Roman" w:cs="Times New Roman"/>
          <w:sz w:val="20"/>
          <w:szCs w:val="20"/>
        </w:rPr>
        <w:t>bifle</w:t>
      </w:r>
      <w:proofErr w:type="spellEnd"/>
      <w:r>
        <w:rPr>
          <w:rFonts w:ascii="Times New Roman" w:eastAsia="Times New Roman" w:hAnsi="Times New Roman" w:cs="Times New Roman"/>
          <w:sz w:val="20"/>
          <w:szCs w:val="20"/>
        </w:rPr>
        <w:t xml:space="preserve">” » avec ses enquêtés. La construction d’une définition virile du métier de gendarme », </w:t>
      </w:r>
      <w:r>
        <w:rPr>
          <w:rFonts w:ascii="Times New Roman" w:eastAsia="Times New Roman" w:hAnsi="Times New Roman" w:cs="Times New Roman"/>
          <w:i/>
          <w:sz w:val="20"/>
          <w:szCs w:val="20"/>
        </w:rPr>
        <w:t>Genèses</w:t>
      </w:r>
      <w:r>
        <w:rPr>
          <w:rFonts w:ascii="Times New Roman" w:eastAsia="Times New Roman" w:hAnsi="Times New Roman" w:cs="Times New Roman"/>
          <w:sz w:val="20"/>
          <w:szCs w:val="20"/>
        </w:rPr>
        <w:t>, 2018, 112, p. 103-122.</w:t>
      </w:r>
    </w:p>
  </w:footnote>
  <w:footnote w:id="32">
    <w:p w14:paraId="0000005B" w14:textId="77777777" w:rsidR="00D818B6" w:rsidRDefault="00305FF0">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highlight w:val="white"/>
        </w:rPr>
        <w:t>Conein</w:t>
      </w:r>
      <w:proofErr w:type="spellEnd"/>
      <w:r>
        <w:rPr>
          <w:rFonts w:ascii="Times New Roman" w:eastAsia="Times New Roman" w:hAnsi="Times New Roman" w:cs="Times New Roman"/>
          <w:sz w:val="20"/>
          <w:szCs w:val="20"/>
          <w:highlight w:val="white"/>
        </w:rPr>
        <w:t xml:space="preserve"> Bernard, « À propos d’Harvey Sacks : la sociologie et l’analyse de la conversation. Commentaires sur </w:t>
      </w:r>
      <w:r>
        <w:rPr>
          <w:rFonts w:ascii="Times New Roman" w:eastAsia="Times New Roman" w:hAnsi="Times New Roman" w:cs="Times New Roman"/>
          <w:i/>
          <w:sz w:val="20"/>
          <w:szCs w:val="20"/>
          <w:highlight w:val="white"/>
        </w:rPr>
        <w:t>Langage, activités et ordre social. Faire de la sociologie avec Harvey Sacks</w:t>
      </w:r>
      <w:r>
        <w:rPr>
          <w:rFonts w:ascii="Times New Roman" w:eastAsia="Times New Roman" w:hAnsi="Times New Roman" w:cs="Times New Roman"/>
          <w:sz w:val="20"/>
          <w:szCs w:val="20"/>
          <w:highlight w:val="white"/>
        </w:rPr>
        <w:t xml:space="preserve">, A. Bovet, </w:t>
      </w:r>
      <w:proofErr w:type="spellStart"/>
      <w:proofErr w:type="gramStart"/>
      <w:r>
        <w:rPr>
          <w:rFonts w:ascii="Times New Roman" w:eastAsia="Times New Roman" w:hAnsi="Times New Roman" w:cs="Times New Roman"/>
          <w:sz w:val="20"/>
          <w:szCs w:val="20"/>
          <w:highlight w:val="white"/>
        </w:rPr>
        <w:t>E.Gonzalez</w:t>
      </w:r>
      <w:proofErr w:type="gramEnd"/>
      <w:r>
        <w:rPr>
          <w:rFonts w:ascii="Times New Roman" w:eastAsia="Times New Roman" w:hAnsi="Times New Roman" w:cs="Times New Roman"/>
          <w:sz w:val="20"/>
          <w:szCs w:val="20"/>
          <w:highlight w:val="white"/>
        </w:rPr>
        <w:t>-Martinez</w:t>
      </w:r>
      <w:proofErr w:type="spellEnd"/>
      <w:r>
        <w:rPr>
          <w:rFonts w:ascii="Times New Roman" w:eastAsia="Times New Roman" w:hAnsi="Times New Roman" w:cs="Times New Roman"/>
          <w:sz w:val="20"/>
          <w:szCs w:val="20"/>
          <w:highlight w:val="white"/>
        </w:rPr>
        <w:t xml:space="preserve"> &amp; F. </w:t>
      </w:r>
      <w:proofErr w:type="spellStart"/>
      <w:r>
        <w:rPr>
          <w:rFonts w:ascii="Times New Roman" w:eastAsia="Times New Roman" w:hAnsi="Times New Roman" w:cs="Times New Roman"/>
          <w:sz w:val="20"/>
          <w:szCs w:val="20"/>
          <w:highlight w:val="white"/>
        </w:rPr>
        <w:t>Malbois</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dirs</w:t>
      </w:r>
      <w:proofErr w:type="spellEnd"/>
      <w:r>
        <w:rPr>
          <w:rFonts w:ascii="Times New Roman" w:eastAsia="Times New Roman" w:hAnsi="Times New Roman" w:cs="Times New Roman"/>
          <w:sz w:val="20"/>
          <w:szCs w:val="20"/>
          <w:highlight w:val="white"/>
        </w:rPr>
        <w:t xml:space="preserve">), Bern, Peter Lang, 2014 », </w:t>
      </w:r>
      <w:r>
        <w:rPr>
          <w:rFonts w:ascii="Times New Roman" w:eastAsia="Times New Roman" w:hAnsi="Times New Roman" w:cs="Times New Roman"/>
          <w:i/>
          <w:sz w:val="20"/>
          <w:szCs w:val="20"/>
          <w:highlight w:val="white"/>
        </w:rPr>
        <w:t>Langage et société</w:t>
      </w:r>
      <w:r>
        <w:rPr>
          <w:rFonts w:ascii="Times New Roman" w:eastAsia="Times New Roman" w:hAnsi="Times New Roman" w:cs="Times New Roman"/>
          <w:sz w:val="20"/>
          <w:szCs w:val="20"/>
          <w:highlight w:val="white"/>
        </w:rPr>
        <w:t xml:space="preserve">, 2015/2 (n° 152), p. 123-129. </w:t>
      </w:r>
    </w:p>
  </w:footnote>
  <w:footnote w:id="33">
    <w:p w14:paraId="0000004E"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t xml:space="preserve"> </w:t>
      </w:r>
      <w:r>
        <w:rPr>
          <w:rFonts w:ascii="Times New Roman" w:eastAsia="Times New Roman" w:hAnsi="Times New Roman" w:cs="Times New Roman"/>
          <w:sz w:val="20"/>
          <w:szCs w:val="20"/>
        </w:rPr>
        <w:t xml:space="preserve">Dupuy Pierre-Olivier, Marchand Pascal, « Confrontation et positionnement dans les duels de l'entre-deux-tours : une approche </w:t>
      </w:r>
      <w:proofErr w:type="spellStart"/>
      <w:r>
        <w:rPr>
          <w:rFonts w:ascii="Times New Roman" w:eastAsia="Times New Roman" w:hAnsi="Times New Roman" w:cs="Times New Roman"/>
          <w:sz w:val="20"/>
          <w:szCs w:val="20"/>
        </w:rPr>
        <w:t>lexicométrique</w:t>
      </w:r>
      <w:proofErr w:type="spellEnd"/>
      <w:r>
        <w:rPr>
          <w:rFonts w:ascii="Times New Roman" w:eastAsia="Times New Roman" w:hAnsi="Times New Roman" w:cs="Times New Roman"/>
          <w:sz w:val="20"/>
          <w:szCs w:val="20"/>
        </w:rPr>
        <w:t xml:space="preserve"> », dans : Marcel Burger éd., </w:t>
      </w:r>
      <w:r>
        <w:rPr>
          <w:rFonts w:ascii="Times New Roman" w:eastAsia="Times New Roman" w:hAnsi="Times New Roman" w:cs="Times New Roman"/>
          <w:i/>
          <w:sz w:val="20"/>
          <w:szCs w:val="20"/>
        </w:rPr>
        <w:t>La parole politique en confrontation dans les médias.</w:t>
      </w:r>
      <w:r>
        <w:rPr>
          <w:rFonts w:ascii="Times New Roman" w:eastAsia="Times New Roman" w:hAnsi="Times New Roman" w:cs="Times New Roman"/>
          <w:sz w:val="20"/>
          <w:szCs w:val="20"/>
        </w:rPr>
        <w:t xml:space="preserve"> Louvain-la-Neuve, De Boeck Supérieur, « Culture &amp; Communication », 2011, p. 129-147</w:t>
      </w:r>
    </w:p>
  </w:footnote>
  <w:footnote w:id="34">
    <w:p w14:paraId="0000004F"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Karsenti Thierry, « Chapitre 7. Apprendre les mathématiques avec un jeu vidéo ? Une recherche mixte menée auprès de 118 apprenants », dans : </w:t>
      </w:r>
      <w:proofErr w:type="spellStart"/>
      <w:r>
        <w:rPr>
          <w:rFonts w:ascii="Times New Roman" w:eastAsia="Times New Roman" w:hAnsi="Times New Roman" w:cs="Times New Roman"/>
          <w:sz w:val="20"/>
          <w:szCs w:val="20"/>
          <w:highlight w:val="white"/>
        </w:rPr>
        <w:t>Angélick</w:t>
      </w:r>
      <w:proofErr w:type="spellEnd"/>
      <w:r>
        <w:rPr>
          <w:rFonts w:ascii="Times New Roman" w:eastAsia="Times New Roman" w:hAnsi="Times New Roman" w:cs="Times New Roman"/>
          <w:sz w:val="20"/>
          <w:szCs w:val="20"/>
          <w:highlight w:val="white"/>
        </w:rPr>
        <w:t xml:space="preserve"> Schweizer éd., </w:t>
      </w:r>
      <w:r>
        <w:rPr>
          <w:rFonts w:ascii="Times New Roman" w:eastAsia="Times New Roman" w:hAnsi="Times New Roman" w:cs="Times New Roman"/>
          <w:i/>
          <w:sz w:val="20"/>
          <w:szCs w:val="20"/>
          <w:highlight w:val="white"/>
        </w:rPr>
        <w:t xml:space="preserve">Les méthodes mixtes en psychologie. Analyses qualitatives et quantitatives : de la théorie à la pratique. </w:t>
      </w:r>
      <w:r>
        <w:rPr>
          <w:rFonts w:ascii="Times New Roman" w:eastAsia="Times New Roman" w:hAnsi="Times New Roman" w:cs="Times New Roman"/>
          <w:sz w:val="20"/>
          <w:szCs w:val="20"/>
          <w:highlight w:val="white"/>
        </w:rPr>
        <w:t xml:space="preserve">Paris, Dunod, « Univers Psy », 2020, p. 133-146. </w:t>
      </w:r>
    </w:p>
  </w:footnote>
  <w:footnote w:id="35">
    <w:p w14:paraId="00000050"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Blais Hélène, « Un protocole d'enquête pour un voyage autour du monde : universalisme et organisation pratique », </w:t>
      </w:r>
      <w:r>
        <w:rPr>
          <w:rFonts w:ascii="Times New Roman" w:eastAsia="Times New Roman" w:hAnsi="Times New Roman" w:cs="Times New Roman"/>
          <w:i/>
          <w:sz w:val="20"/>
          <w:szCs w:val="20"/>
          <w:highlight w:val="white"/>
        </w:rPr>
        <w:t>Revue d'Histoire des Sciences Humaines</w:t>
      </w:r>
      <w:r>
        <w:rPr>
          <w:rFonts w:ascii="Times New Roman" w:eastAsia="Times New Roman" w:hAnsi="Times New Roman" w:cs="Times New Roman"/>
          <w:sz w:val="20"/>
          <w:szCs w:val="20"/>
          <w:highlight w:val="white"/>
        </w:rPr>
        <w:t>, 2003/2 (n° 9), p. 165-173.</w:t>
      </w:r>
    </w:p>
  </w:footnote>
  <w:footnote w:id="36">
    <w:p w14:paraId="0000005D" w14:textId="77777777" w:rsidR="00D818B6" w:rsidRDefault="00305FF0">
      <w:pPr>
        <w:spacing w:line="240" w:lineRule="auto"/>
        <w:jc w:val="both"/>
        <w:rPr>
          <w:sz w:val="20"/>
          <w:szCs w:val="20"/>
        </w:rPr>
      </w:pPr>
      <w:r>
        <w:rPr>
          <w:vertAlign w:val="superscript"/>
        </w:rPr>
        <w:footnoteRef/>
      </w:r>
      <w:r>
        <w:rPr>
          <w:sz w:val="20"/>
          <w:szCs w:val="20"/>
        </w:rPr>
        <w:t xml:space="preserve"> </w:t>
      </w:r>
      <w:proofErr w:type="spellStart"/>
      <w:r>
        <w:rPr>
          <w:rFonts w:ascii="Times New Roman" w:eastAsia="Times New Roman" w:hAnsi="Times New Roman" w:cs="Times New Roman"/>
          <w:sz w:val="20"/>
          <w:szCs w:val="20"/>
          <w:highlight w:val="white"/>
        </w:rPr>
        <w:t>Khiar</w:t>
      </w:r>
      <w:proofErr w:type="spellEnd"/>
      <w:r>
        <w:rPr>
          <w:rFonts w:ascii="Times New Roman" w:eastAsia="Times New Roman" w:hAnsi="Times New Roman" w:cs="Times New Roman"/>
          <w:sz w:val="20"/>
          <w:szCs w:val="20"/>
          <w:highlight w:val="white"/>
        </w:rPr>
        <w:t xml:space="preserve"> Zerrouk Assia, </w:t>
      </w:r>
      <w:proofErr w:type="spellStart"/>
      <w:r>
        <w:rPr>
          <w:rFonts w:ascii="Times New Roman" w:eastAsia="Times New Roman" w:hAnsi="Times New Roman" w:cs="Times New Roman"/>
          <w:sz w:val="20"/>
          <w:szCs w:val="20"/>
          <w:highlight w:val="white"/>
        </w:rPr>
        <w:t>Sibeoni</w:t>
      </w:r>
      <w:proofErr w:type="spellEnd"/>
      <w:r>
        <w:rPr>
          <w:rFonts w:ascii="Times New Roman" w:eastAsia="Times New Roman" w:hAnsi="Times New Roman" w:cs="Times New Roman"/>
          <w:sz w:val="20"/>
          <w:szCs w:val="20"/>
          <w:highlight w:val="white"/>
        </w:rPr>
        <w:t xml:space="preserve"> Jordan, Blanchard Bernard</w:t>
      </w:r>
      <w:r>
        <w:rPr>
          <w:rFonts w:ascii="Times New Roman" w:eastAsia="Times New Roman" w:hAnsi="Times New Roman" w:cs="Times New Roman"/>
          <w:i/>
          <w:sz w:val="20"/>
          <w:szCs w:val="20"/>
          <w:highlight w:val="white"/>
        </w:rPr>
        <w:t xml:space="preserve"> et al.</w:t>
      </w:r>
      <w:r>
        <w:rPr>
          <w:rFonts w:ascii="Times New Roman" w:eastAsia="Times New Roman" w:hAnsi="Times New Roman" w:cs="Times New Roman"/>
          <w:sz w:val="20"/>
          <w:szCs w:val="20"/>
          <w:highlight w:val="white"/>
        </w:rPr>
        <w:t xml:space="preserve">, « Place de la nourriture dans les relations familiales d'adolescents présentant une anorexie mentale : étude qualitative par la photographie », </w:t>
      </w:r>
      <w:r>
        <w:rPr>
          <w:rFonts w:ascii="Times New Roman" w:eastAsia="Times New Roman" w:hAnsi="Times New Roman" w:cs="Times New Roman"/>
          <w:i/>
          <w:sz w:val="20"/>
          <w:szCs w:val="20"/>
          <w:highlight w:val="white"/>
        </w:rPr>
        <w:t>La psychiatrie de l'enfant</w:t>
      </w:r>
      <w:r>
        <w:rPr>
          <w:rFonts w:ascii="Times New Roman" w:eastAsia="Times New Roman" w:hAnsi="Times New Roman" w:cs="Times New Roman"/>
          <w:sz w:val="20"/>
          <w:szCs w:val="20"/>
          <w:highlight w:val="white"/>
        </w:rPr>
        <w:t xml:space="preserve">, 2014/2 (Vol. 57), p. 631-680. </w:t>
      </w:r>
    </w:p>
  </w:footnote>
  <w:footnote w:id="37">
    <w:p w14:paraId="00000051" w14:textId="77777777" w:rsidR="00D818B6" w:rsidRDefault="00305FF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La lexicométrie n'a de sens que sur beaucoup d'entretiens, car il faut une grande base de données, c'est-à-dire de mots ici, à analyser.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D818B6" w:rsidRDefault="00D818B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B6"/>
    <w:rsid w:val="00305FF0"/>
    <w:rsid w:val="00503C9D"/>
    <w:rsid w:val="005C1AC8"/>
    <w:rsid w:val="0062738F"/>
    <w:rsid w:val="006953B4"/>
    <w:rsid w:val="00860CD4"/>
    <w:rsid w:val="008E5733"/>
    <w:rsid w:val="00A36BBF"/>
    <w:rsid w:val="00C81A97"/>
    <w:rsid w:val="00D27C70"/>
    <w:rsid w:val="00D818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53F2"/>
  <w15:docId w15:val="{12E8E651-6DF2-E745-A1E7-43CB2B02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jc w:val="both"/>
      <w:outlineLvl w:val="0"/>
    </w:pPr>
    <w:rPr>
      <w:b/>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3494</Words>
  <Characters>19218</Characters>
  <Application>Microsoft Office Word</Application>
  <DocSecurity>0</DocSecurity>
  <Lines>160</Lines>
  <Paragraphs>45</Paragraphs>
  <ScaleCrop>false</ScaleCrop>
  <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 Ma</dc:creator>
  <cp:lastModifiedBy>Ax Ma</cp:lastModifiedBy>
  <cp:revision>2</cp:revision>
  <cp:lastPrinted>2022-02-03T16:20:00Z</cp:lastPrinted>
  <dcterms:created xsi:type="dcterms:W3CDTF">2022-02-03T16:21:00Z</dcterms:created>
  <dcterms:modified xsi:type="dcterms:W3CDTF">2022-02-03T16:21:00Z</dcterms:modified>
</cp:coreProperties>
</file>